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4FA2D" w14:textId="324189D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FF0301">
        <w:rPr>
          <w:rFonts w:ascii="Arial" w:eastAsia="SimSun" w:hAnsi="Arial" w:cs="Times New Roman"/>
          <w:b/>
          <w:sz w:val="24"/>
          <w:szCs w:val="20"/>
          <w:lang w:val="en-GB"/>
        </w:rPr>
        <w:t>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94A7C" w:rsidRPr="00D94A7C">
        <w:rPr>
          <w:rFonts w:ascii="Arial" w:eastAsia="SimSun" w:hAnsi="Arial" w:cs="Times New Roman"/>
          <w:b/>
          <w:bCs/>
          <w:sz w:val="24"/>
          <w:szCs w:val="20"/>
          <w:lang w:val="en-GB" w:eastAsia="ja-JP"/>
        </w:rPr>
        <w:t>R4-1807764</w:t>
      </w:r>
    </w:p>
    <w:p w14:paraId="6ADE5115" w14:textId="1CB578D3" w:rsidR="00841BCD" w:rsidRPr="00841BCD" w:rsidRDefault="00851A8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 xml:space="preserve">Busan, </w:t>
      </w:r>
      <w:r w:rsidR="00FF0301">
        <w:rPr>
          <w:rFonts w:ascii="Arial" w:eastAsia="SimSun" w:hAnsi="Arial" w:cs="Times New Roman"/>
          <w:b/>
          <w:sz w:val="24"/>
          <w:szCs w:val="20"/>
          <w:lang w:val="en-GB"/>
        </w:rPr>
        <w:t>Korea</w:t>
      </w:r>
      <w:r w:rsidR="008F7BBC">
        <w:rPr>
          <w:rFonts w:ascii="Arial" w:eastAsia="SimSun" w:hAnsi="Arial" w:cs="Times New Roman"/>
          <w:b/>
          <w:sz w:val="24"/>
          <w:szCs w:val="20"/>
          <w:lang w:val="en-GB"/>
        </w:rPr>
        <w:t xml:space="preserve"> (Republic of)</w:t>
      </w:r>
      <w:r w:rsidR="00FF0301">
        <w:rPr>
          <w:rFonts w:ascii="Arial" w:eastAsia="SimSun" w:hAnsi="Arial" w:cs="Times New Roman"/>
          <w:b/>
          <w:sz w:val="24"/>
          <w:szCs w:val="20"/>
          <w:lang w:val="en-GB"/>
        </w:rPr>
        <w:t>, 21-25 May 2018</w:t>
      </w:r>
    </w:p>
    <w:bookmarkEnd w:id="0"/>
    <w:bookmarkEnd w:id="1"/>
    <w:p w14:paraId="6DD9906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E86CB43"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430BA8F" w14:textId="053B214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F7BBC">
        <w:rPr>
          <w:rFonts w:ascii="Arial" w:eastAsia="Calibri" w:hAnsi="Arial" w:cs="Arial"/>
          <w:b/>
          <w:bCs/>
          <w:sz w:val="24"/>
          <w:lang w:val="en-GB"/>
        </w:rPr>
        <w:t>Discussion on how to count carriers in EN-DC</w:t>
      </w:r>
    </w:p>
    <w:p w14:paraId="7C71C508" w14:textId="45BA08D1"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4E7B" w:rsidRPr="00204E7B">
        <w:rPr>
          <w:rFonts w:ascii="Arial" w:eastAsia="MS Mincho" w:hAnsi="Arial" w:cs="Arial"/>
          <w:b/>
          <w:bCs/>
          <w:sz w:val="24"/>
          <w:szCs w:val="20"/>
          <w:lang w:val="en-GB"/>
        </w:rPr>
        <w:t>7.10.2.1</w:t>
      </w:r>
    </w:p>
    <w:p w14:paraId="33A0AFE1"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74371">
        <w:rPr>
          <w:rFonts w:ascii="Arial" w:eastAsia="Calibri" w:hAnsi="Arial" w:cs="Arial"/>
          <w:b/>
          <w:bCs/>
          <w:sz w:val="24"/>
          <w:lang w:val="en-GB"/>
        </w:rPr>
        <w:t>Discussion</w:t>
      </w:r>
    </w:p>
    <w:p w14:paraId="36881AD6" w14:textId="1A95E3B9" w:rsidR="00841BCD" w:rsidRDefault="00841BCD" w:rsidP="00A37002">
      <w:pPr>
        <w:pStyle w:val="RAN4H1"/>
      </w:pPr>
      <w:r w:rsidRPr="00AE56B1">
        <w:t>Intro</w:t>
      </w:r>
      <w:r w:rsidRPr="00AE56B1">
        <w:rPr>
          <w:rStyle w:val="RAN4H1Char"/>
        </w:rPr>
        <w:t>ductio</w:t>
      </w:r>
      <w:r w:rsidRPr="00AE56B1">
        <w:t>n</w:t>
      </w:r>
    </w:p>
    <w:p w14:paraId="034DF239" w14:textId="56976DA1" w:rsidR="008F7BBC" w:rsidRDefault="001A7936" w:rsidP="008F7BBC">
      <w:pPr>
        <w:rPr>
          <w:rFonts w:eastAsia="Times New Roman" w:cs="Times New Roman"/>
          <w:szCs w:val="20"/>
          <w:lang w:val="en-GB"/>
        </w:rPr>
      </w:pPr>
      <w:r>
        <w:rPr>
          <w:lang w:val="en-GB"/>
        </w:rPr>
        <w:t xml:space="preserve">A </w:t>
      </w:r>
      <w:r w:rsidRPr="008F7BBC">
        <w:rPr>
          <w:rFonts w:eastAsia="Times New Roman" w:cs="Times New Roman"/>
          <w:szCs w:val="20"/>
          <w:lang w:val="en-GB"/>
        </w:rPr>
        <w:t>Way forward on UE requirements with same MO configured by MN and SN</w:t>
      </w:r>
      <w:r>
        <w:rPr>
          <w:rFonts w:eastAsia="Times New Roman" w:cs="Times New Roman"/>
          <w:szCs w:val="20"/>
          <w:lang w:val="en-GB"/>
        </w:rPr>
        <w:t xml:space="preserve"> was agreed in the previous RAN4 meeting with the following content:</w:t>
      </w:r>
    </w:p>
    <w:p w14:paraId="0B76A825" w14:textId="77777777" w:rsidR="000F31D5" w:rsidRPr="001A7936" w:rsidRDefault="000F31D5" w:rsidP="001A7936">
      <w:pPr>
        <w:numPr>
          <w:ilvl w:val="0"/>
          <w:numId w:val="23"/>
        </w:numPr>
        <w:rPr>
          <w:i/>
        </w:rPr>
      </w:pPr>
      <w:r w:rsidRPr="001A7936">
        <w:rPr>
          <w:i/>
        </w:rPr>
        <w:t>When MN and SN configure measurement objects to the same carrier frequency layer, RAN4 shall define whether the two measurement objects are counted as one or two layers. Aspects to be further studied include</w:t>
      </w:r>
    </w:p>
    <w:p w14:paraId="621D49C3" w14:textId="77777777" w:rsidR="000F31D5" w:rsidRPr="001A7936" w:rsidRDefault="000F31D5" w:rsidP="001A7936">
      <w:pPr>
        <w:numPr>
          <w:ilvl w:val="1"/>
          <w:numId w:val="23"/>
        </w:numPr>
        <w:rPr>
          <w:i/>
        </w:rPr>
      </w:pPr>
      <w:r w:rsidRPr="001A7936">
        <w:rPr>
          <w:i/>
        </w:rPr>
        <w:t>Focus on SSB-based measurement. FFS CSI-RS</w:t>
      </w:r>
    </w:p>
    <w:p w14:paraId="18A3B222" w14:textId="77777777" w:rsidR="000F31D5" w:rsidRPr="001A7936" w:rsidRDefault="000F31D5" w:rsidP="001A7936">
      <w:pPr>
        <w:numPr>
          <w:ilvl w:val="1"/>
          <w:numId w:val="23"/>
        </w:numPr>
        <w:rPr>
          <w:i/>
        </w:rPr>
      </w:pPr>
      <w:r w:rsidRPr="001A7936">
        <w:rPr>
          <w:i/>
        </w:rPr>
        <w:t>Same or different SMTC configuration</w:t>
      </w:r>
    </w:p>
    <w:p w14:paraId="5AF5723B" w14:textId="77777777" w:rsidR="000F31D5" w:rsidRPr="001A7936" w:rsidRDefault="000F31D5" w:rsidP="001A7936">
      <w:pPr>
        <w:numPr>
          <w:ilvl w:val="1"/>
          <w:numId w:val="23"/>
        </w:numPr>
        <w:rPr>
          <w:i/>
        </w:rPr>
      </w:pPr>
      <w:r w:rsidRPr="001A7936">
        <w:rPr>
          <w:i/>
        </w:rPr>
        <w:t>Same or different SCS</w:t>
      </w:r>
    </w:p>
    <w:p w14:paraId="152C1DE6" w14:textId="77777777" w:rsidR="000F31D5" w:rsidRPr="001A7936" w:rsidRDefault="000F31D5" w:rsidP="001A7936">
      <w:pPr>
        <w:numPr>
          <w:ilvl w:val="1"/>
          <w:numId w:val="23"/>
        </w:numPr>
        <w:rPr>
          <w:i/>
        </w:rPr>
      </w:pPr>
      <w:r w:rsidRPr="001A7936">
        <w:rPr>
          <w:i/>
          <w:lang w:val="en-GB"/>
        </w:rPr>
        <w:t>Other aspects are not precluded</w:t>
      </w:r>
    </w:p>
    <w:p w14:paraId="0A558BFE" w14:textId="7B18C200" w:rsidR="001A7936" w:rsidRDefault="001A7936" w:rsidP="008F7BBC">
      <w:pPr>
        <w:rPr>
          <w:lang w:val="en-GB"/>
        </w:rPr>
      </w:pPr>
      <w:r>
        <w:rPr>
          <w:lang w:val="en-GB"/>
        </w:rPr>
        <w:t>The way forward was agreed to trigger the discussion that was left open after RAN4 response LSs [2] and [3] to RAN2 LS in [4], where RAN2 asks RAN4 clarification on whether two measurement objects can be counted as one or two layers when they are configured for the same carrier frequency layer separately by MN and SN.</w:t>
      </w:r>
      <w:r w:rsidR="00445680">
        <w:rPr>
          <w:lang w:val="en-GB"/>
        </w:rPr>
        <w:t xml:space="preserve"> After the LS responses it </w:t>
      </w:r>
      <w:r w:rsidR="007D2DC1">
        <w:rPr>
          <w:lang w:val="en-GB"/>
        </w:rPr>
        <w:t>has not</w:t>
      </w:r>
      <w:r w:rsidR="008C7B10">
        <w:rPr>
          <w:lang w:val="en-GB"/>
        </w:rPr>
        <w:t xml:space="preserve"> been fully</w:t>
      </w:r>
      <w:r w:rsidR="00445680">
        <w:rPr>
          <w:lang w:val="en-GB"/>
        </w:rPr>
        <w:t xml:space="preserve"> specified how the total number of carrier frequency layers is </w:t>
      </w:r>
      <w:r w:rsidR="00F0099E">
        <w:rPr>
          <w:lang w:val="en-GB"/>
        </w:rPr>
        <w:t>calculated</w:t>
      </w:r>
      <w:r w:rsidR="00445680">
        <w:rPr>
          <w:lang w:val="en-GB"/>
        </w:rPr>
        <w:t xml:space="preserve"> in such situation.</w:t>
      </w:r>
    </w:p>
    <w:p w14:paraId="61F1DF68" w14:textId="77777777" w:rsidR="00567DB2" w:rsidRDefault="001A7936" w:rsidP="008F7BBC">
      <w:r>
        <w:t xml:space="preserve">In this contribution we </w:t>
      </w:r>
      <w:r w:rsidR="0072623C">
        <w:t xml:space="preserve">continue the discussion to aim for clear definition of whether the MOs configured by MN and SN can </w:t>
      </w:r>
      <w:r w:rsidR="00445680">
        <w:t>be counted as one or two layers, and how the total number of carriers is to be calculated.</w:t>
      </w:r>
    </w:p>
    <w:p w14:paraId="15DE10C0" w14:textId="17147A7E" w:rsidR="001A7936" w:rsidRDefault="00A27D32" w:rsidP="008F7BBC">
      <w:r>
        <w:t xml:space="preserve">It is important to clearly define how the configured carriers shall be counted, as the UE performance depends on the number of configured carriers and the UE requirements are only defined up to maximum number of carriers – i.e. the network should not configure the UE with more carriers than what the UE is required to be able to monitor. </w:t>
      </w:r>
    </w:p>
    <w:p w14:paraId="67369F19" w14:textId="5C311C1A" w:rsidR="00F0099E" w:rsidRDefault="003B659E" w:rsidP="00F0099E">
      <w:pPr>
        <w:pStyle w:val="RAN4H1"/>
      </w:pPr>
      <w:r w:rsidRPr="00AE56B1">
        <w:t>Discussion</w:t>
      </w:r>
    </w:p>
    <w:p w14:paraId="1796D65A" w14:textId="6F124D5F" w:rsidR="00F52C77" w:rsidRDefault="001944BE" w:rsidP="000D55F4">
      <w:pPr>
        <w:rPr>
          <w:lang w:val="en-GB"/>
        </w:rPr>
      </w:pPr>
      <w:r>
        <w:rPr>
          <w:lang w:val="en-GB"/>
        </w:rPr>
        <w:t>As discussed in our contribution in the previous meeting [5]</w:t>
      </w:r>
      <w:r w:rsidR="007D2DC1">
        <w:rPr>
          <w:lang w:val="en-GB"/>
        </w:rPr>
        <w:t xml:space="preserve">, and listed in the way forward [1], it is still open how the </w:t>
      </w:r>
      <w:r w:rsidR="0057587E">
        <w:rPr>
          <w:lang w:val="en-GB"/>
        </w:rPr>
        <w:t>UE handles the situation where two</w:t>
      </w:r>
      <w:r w:rsidR="007D2DC1">
        <w:rPr>
          <w:lang w:val="en-GB"/>
        </w:rPr>
        <w:t xml:space="preserve"> MOs from MN and SN </w:t>
      </w:r>
      <w:r w:rsidR="0057587E">
        <w:rPr>
          <w:lang w:val="en-GB"/>
        </w:rPr>
        <w:t>configured for the same carrier with different or same</w:t>
      </w:r>
      <w:r w:rsidR="007D2DC1">
        <w:rPr>
          <w:lang w:val="en-GB"/>
        </w:rPr>
        <w:t xml:space="preserve"> SMTC conf</w:t>
      </w:r>
      <w:r w:rsidR="0057587E">
        <w:rPr>
          <w:lang w:val="en-GB"/>
        </w:rPr>
        <w:t>igurations</w:t>
      </w:r>
      <w:r w:rsidR="007D2DC1">
        <w:rPr>
          <w:lang w:val="en-GB"/>
        </w:rPr>
        <w:t xml:space="preserve">. </w:t>
      </w:r>
      <w:r w:rsidR="00F97750" w:rsidRPr="00F97750">
        <w:rPr>
          <w:lang w:val="en-GB"/>
        </w:rPr>
        <w:t>In the WF different or same SCS was listed as a topic to be discussed. In our view SCS should always be same when MOs are for the same carrier, so we do not see a need to discuss requirements for this part.</w:t>
      </w:r>
      <w:r w:rsidR="00F97750">
        <w:rPr>
          <w:lang w:val="en-GB"/>
        </w:rPr>
        <w:t xml:space="preserve"> Thus, we will concentrate on different SMTC configurations in this contribution.</w:t>
      </w:r>
    </w:p>
    <w:p w14:paraId="5E7DBF4F" w14:textId="1FDB4F6B" w:rsidR="007D2DC1" w:rsidRDefault="007D2DC1" w:rsidP="007D2DC1">
      <w:pPr>
        <w:jc w:val="both"/>
      </w:pPr>
      <w:r>
        <w:t xml:space="preserve">According to the current specifications, MN can get SNs SMTC information on system level i.e. SN will inform MN the actually transmitted SMTC windows and MN can configure a subset of these, when configuring measurement objects to the UE. For example, SN may inform SMTC with 20ms period to MN (an NR cell should transmit SSBs at least every 20ms), but when configuring SMTC to UE as part of measurement object configuration, MN and also SN may indicate the UE an SMTC period different </w:t>
      </w:r>
      <w:r w:rsidR="008C0312">
        <w:t xml:space="preserve">(but always a multiple longer) </w:t>
      </w:r>
      <w:r>
        <w:t xml:space="preserve">from 20ms. For example, MN and SN may indicate a 40ms </w:t>
      </w:r>
      <w:r w:rsidR="008C0312">
        <w:t xml:space="preserve">SMTC </w:t>
      </w:r>
      <w:r>
        <w:t>period for each measurement object</w:t>
      </w:r>
      <w:r w:rsidR="008C0312">
        <w:t xml:space="preserve"> (which is in fact same carrier)</w:t>
      </w:r>
      <w:r>
        <w:t>, and then configure the UE with different SMTC offsets for each measurement object, as shown in Figure 1 below.</w:t>
      </w:r>
    </w:p>
    <w:p w14:paraId="192112B7" w14:textId="77777777" w:rsidR="007D2DC1" w:rsidRDefault="007D2DC1" w:rsidP="007D2DC1">
      <w:pPr>
        <w:keepNext/>
        <w:ind w:left="360"/>
        <w:jc w:val="center"/>
      </w:pPr>
      <w:r>
        <w:rPr>
          <w:noProof/>
        </w:rPr>
        <w:lastRenderedPageBreak/>
        <w:drawing>
          <wp:inline distT="0" distB="0" distL="0" distR="0" wp14:anchorId="789B0709" wp14:editId="6E69CF31">
            <wp:extent cx="4844074" cy="1714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8383" cy="1716425"/>
                    </a:xfrm>
                    <a:prstGeom prst="rect">
                      <a:avLst/>
                    </a:prstGeom>
                    <a:noFill/>
                  </pic:spPr>
                </pic:pic>
              </a:graphicData>
            </a:graphic>
          </wp:inline>
        </w:drawing>
      </w:r>
    </w:p>
    <w:p w14:paraId="24D7C83B" w14:textId="77777777" w:rsidR="007D2DC1" w:rsidRDefault="007D2DC1" w:rsidP="007D2DC1">
      <w:pPr>
        <w:pStyle w:val="Caption"/>
      </w:pPr>
      <w:r>
        <w:t xml:space="preserve">Figure </w:t>
      </w:r>
      <w:fldSimple w:instr=" SEQ Figure \* ARABIC ">
        <w:r>
          <w:rPr>
            <w:noProof/>
          </w:rPr>
          <w:t>1</w:t>
        </w:r>
      </w:fldSimple>
      <w:r>
        <w:t>: Example.</w:t>
      </w:r>
    </w:p>
    <w:p w14:paraId="0529396F" w14:textId="77777777" w:rsidR="007D2DC1" w:rsidRDefault="007D2DC1" w:rsidP="007D2DC1">
      <w:pPr>
        <w:ind w:left="360"/>
        <w:jc w:val="center"/>
      </w:pPr>
    </w:p>
    <w:p w14:paraId="5DE8BAB1" w14:textId="75EA50D7" w:rsidR="00251776" w:rsidRDefault="007D2DC1" w:rsidP="007D2DC1">
      <w:pPr>
        <w:jc w:val="both"/>
      </w:pPr>
      <w:r>
        <w:t xml:space="preserve">It should be noted that although the actually transmitted SMTC on the target carrier is known to both MN and SN, it is up to MN and SN to decide the exact UE specific SMTC measurement configuration, and this decision is done separately by the two nodes (MN and SN). </w:t>
      </w:r>
      <w:r w:rsidR="00251776">
        <w:t xml:space="preserve">In this example, even if the MN and SN have configured the UE with measurement object pointing to the same carrier (same center frequency of same SSB) it is not clear </w:t>
      </w:r>
      <w:r>
        <w:t xml:space="preserve">whether the two measurement objects </w:t>
      </w:r>
      <w:r w:rsidR="00251776">
        <w:t xml:space="preserve">are </w:t>
      </w:r>
      <w:r>
        <w:t xml:space="preserve">counted as one </w:t>
      </w:r>
      <w:r w:rsidR="00251776">
        <w:t xml:space="preserve">or two </w:t>
      </w:r>
      <w:r>
        <w:t>layer</w:t>
      </w:r>
      <w:r w:rsidR="00251776">
        <w:t>s on UE side</w:t>
      </w:r>
      <w:r>
        <w:t xml:space="preserve">. </w:t>
      </w:r>
    </w:p>
    <w:p w14:paraId="198CFB11" w14:textId="2C2F363D" w:rsidR="007D2DC1" w:rsidRDefault="00251776" w:rsidP="007D2DC1">
      <w:pPr>
        <w:jc w:val="both"/>
      </w:pPr>
      <w:r>
        <w:t>As the counting has direct impact on the network configurations and UE performance</w:t>
      </w:r>
      <w:r w:rsidR="00F97750">
        <w:t>,</w:t>
      </w:r>
      <w:r>
        <w:t xml:space="preserve"> it has significant impact on network side not knowing how carriers are counted as network would only be able to assume worst case – although measurement of the same object is done using one physical sample. Therefore, RAN4</w:t>
      </w:r>
      <w:r w:rsidR="007D2DC1">
        <w:t xml:space="preserve"> need</w:t>
      </w:r>
      <w:r w:rsidR="009A57A4">
        <w:t>s</w:t>
      </w:r>
      <w:r w:rsidR="007D2DC1">
        <w:t xml:space="preserve"> to define </w:t>
      </w:r>
      <w:r>
        <w:t xml:space="preserve">how </w:t>
      </w:r>
      <w:r w:rsidR="007D2DC1">
        <w:t xml:space="preserve">the UE </w:t>
      </w:r>
      <w:r>
        <w:t xml:space="preserve">will account such configuration as it impacts UE </w:t>
      </w:r>
      <w:r w:rsidR="007D2DC1">
        <w:t xml:space="preserve">requirements </w:t>
      </w:r>
      <w:r>
        <w:t>expected latencies.</w:t>
      </w:r>
    </w:p>
    <w:p w14:paraId="5088874D" w14:textId="1A55FEC9" w:rsidR="007D2DC1" w:rsidRDefault="003478EB" w:rsidP="007D2DC1">
      <w:pPr>
        <w:pStyle w:val="RAN4observation0"/>
      </w:pPr>
      <w:bookmarkStart w:id="3" w:name="_Hlk513794673"/>
      <w:r>
        <w:t>Unclear rule how the UE will account configuration of same measurement object from MN and SN impacts UE requirements expected latencies</w:t>
      </w:r>
      <w:r w:rsidRPr="004E6B62">
        <w:t xml:space="preserve"> </w:t>
      </w:r>
      <w:r>
        <w:t>and limits network configurations.</w:t>
      </w:r>
    </w:p>
    <w:p w14:paraId="666BBE30" w14:textId="14A479D9" w:rsidR="000D55F4" w:rsidRDefault="00FD4BCF" w:rsidP="000D55F4">
      <w:pPr>
        <w:pStyle w:val="RAN4H2"/>
        <w:rPr>
          <w:lang w:val="en-GB"/>
        </w:rPr>
      </w:pPr>
      <w:r>
        <w:rPr>
          <w:lang w:val="en-GB"/>
        </w:rPr>
        <w:t>Discussion about</w:t>
      </w:r>
      <w:r w:rsidR="000D55F4">
        <w:rPr>
          <w:lang w:val="en-GB"/>
        </w:rPr>
        <w:t xml:space="preserve"> SMTC configuration</w:t>
      </w:r>
    </w:p>
    <w:p w14:paraId="2FA8B084" w14:textId="09924B9B" w:rsidR="000D55F4" w:rsidRPr="0065510E" w:rsidRDefault="000D55F4" w:rsidP="000D55F4">
      <w:pPr>
        <w:rPr>
          <w:lang w:val="en-GB"/>
        </w:rPr>
      </w:pPr>
      <w:r w:rsidRPr="0065510E">
        <w:rPr>
          <w:lang w:val="en-GB"/>
        </w:rPr>
        <w:t>In the last meeting we propos</w:t>
      </w:r>
      <w:r w:rsidR="001F3D75" w:rsidRPr="0065510E">
        <w:rPr>
          <w:lang w:val="en-GB"/>
        </w:rPr>
        <w:t>ed</w:t>
      </w:r>
      <w:r w:rsidRPr="0065510E">
        <w:rPr>
          <w:lang w:val="en-GB"/>
        </w:rPr>
        <w:t xml:space="preserve"> clear rules for the UE on how to </w:t>
      </w:r>
      <w:r w:rsidR="001F3D75" w:rsidRPr="0065510E">
        <w:rPr>
          <w:lang w:val="en-GB"/>
        </w:rPr>
        <w:t xml:space="preserve">count and </w:t>
      </w:r>
      <w:r w:rsidRPr="0065510E">
        <w:rPr>
          <w:lang w:val="en-GB"/>
        </w:rPr>
        <w:t>measure the two MOs in the described situation, so that it is clear when the MOs are counted as one or two</w:t>
      </w:r>
      <w:r w:rsidR="001F3D75" w:rsidRPr="0065510E">
        <w:rPr>
          <w:lang w:val="en-GB"/>
        </w:rPr>
        <w:t xml:space="preserve"> carrier frequency layers</w:t>
      </w:r>
      <w:r w:rsidRPr="0065510E">
        <w:rPr>
          <w:lang w:val="en-GB"/>
        </w:rPr>
        <w:t xml:space="preserve">. </w:t>
      </w:r>
      <w:r w:rsidR="00C7268E" w:rsidRPr="0065510E">
        <w:rPr>
          <w:lang w:val="en-GB"/>
        </w:rPr>
        <w:t>As explained</w:t>
      </w:r>
      <w:r w:rsidRPr="0065510E">
        <w:rPr>
          <w:lang w:val="en-GB"/>
        </w:rPr>
        <w:t xml:space="preserve">, whether </w:t>
      </w:r>
      <w:r w:rsidR="00C7268E" w:rsidRPr="0065510E">
        <w:rPr>
          <w:lang w:val="en-GB"/>
        </w:rPr>
        <w:t xml:space="preserve">the UE counts </w:t>
      </w:r>
      <w:r w:rsidRPr="0065510E">
        <w:rPr>
          <w:lang w:val="en-GB"/>
        </w:rPr>
        <w:t xml:space="preserve">two measurement objects </w:t>
      </w:r>
      <w:r w:rsidR="00C7268E" w:rsidRPr="0065510E">
        <w:rPr>
          <w:lang w:val="en-GB"/>
        </w:rPr>
        <w:t>- by MN and SN - as</w:t>
      </w:r>
      <w:r w:rsidRPr="0065510E">
        <w:rPr>
          <w:lang w:val="en-GB"/>
        </w:rPr>
        <w:t xml:space="preserve"> the same carrier </w:t>
      </w:r>
      <w:r w:rsidR="00C7268E" w:rsidRPr="0065510E">
        <w:rPr>
          <w:lang w:val="en-GB"/>
        </w:rPr>
        <w:t xml:space="preserve">frequency layer </w:t>
      </w:r>
      <w:r w:rsidRPr="0065510E">
        <w:rPr>
          <w:lang w:val="en-GB"/>
        </w:rPr>
        <w:t xml:space="preserve">as one or two </w:t>
      </w:r>
      <w:r w:rsidR="00C7268E" w:rsidRPr="0065510E">
        <w:rPr>
          <w:lang w:val="en-GB"/>
        </w:rPr>
        <w:t xml:space="preserve">carrier frequency layers, </w:t>
      </w:r>
      <w:r w:rsidRPr="0065510E">
        <w:rPr>
          <w:lang w:val="en-GB"/>
        </w:rPr>
        <w:t>has a direct impact on the expected UE performance</w:t>
      </w:r>
      <w:r w:rsidR="00C7268E" w:rsidRPr="0065510E">
        <w:rPr>
          <w:lang w:val="en-GB"/>
        </w:rPr>
        <w:t xml:space="preserve"> and the network expectation on UE latency</w:t>
      </w:r>
      <w:r w:rsidRPr="0065510E">
        <w:rPr>
          <w:lang w:val="en-GB"/>
        </w:rPr>
        <w:t xml:space="preserve">. Hence, it is important that the network knows how the UE </w:t>
      </w:r>
      <w:r w:rsidR="00C7268E" w:rsidRPr="0065510E">
        <w:rPr>
          <w:lang w:val="en-GB"/>
        </w:rPr>
        <w:t>counts the carrier frequency layers</w:t>
      </w:r>
      <w:r w:rsidRPr="0065510E">
        <w:rPr>
          <w:lang w:val="en-GB"/>
        </w:rPr>
        <w:t xml:space="preserve">. </w:t>
      </w:r>
    </w:p>
    <w:bookmarkEnd w:id="3"/>
    <w:p w14:paraId="5E258E6F" w14:textId="1D60EB00" w:rsidR="00570E98" w:rsidRDefault="007D2DC1" w:rsidP="007D2DC1">
      <w:pPr>
        <w:jc w:val="both"/>
      </w:pPr>
      <w:r>
        <w:t xml:space="preserve">Our proposal is that the UE </w:t>
      </w:r>
      <w:r w:rsidR="00C7268E">
        <w:t>account</w:t>
      </w:r>
      <w:r>
        <w:t xml:space="preserve"> the measurement</w:t>
      </w:r>
      <w:r w:rsidR="00C7268E">
        <w:t xml:space="preserve"> object</w:t>
      </w:r>
      <w:r>
        <w:t xml:space="preserve">s </w:t>
      </w:r>
      <w:r w:rsidR="00C7268E">
        <w:t xml:space="preserve">received </w:t>
      </w:r>
      <w:r>
        <w:t xml:space="preserve">from </w:t>
      </w:r>
      <w:r w:rsidR="00570E98">
        <w:t xml:space="preserve">MN and SN. If </w:t>
      </w:r>
      <w:r>
        <w:t>different MOs from MN and SN are for the same carrier frequency</w:t>
      </w:r>
      <w:r w:rsidR="00570E98">
        <w:t xml:space="preserve"> layer (i.e. RRC configuration is for same center carrier frequency of an SSB)</w:t>
      </w:r>
      <w:r>
        <w:t xml:space="preserve">, </w:t>
      </w:r>
      <w:r w:rsidR="0065510E">
        <w:t xml:space="preserve">they </w:t>
      </w:r>
      <w:r w:rsidR="00570E98">
        <w:t>will count as one carrier frequency layer.</w:t>
      </w:r>
      <w:r w:rsidR="0065510E">
        <w:t xml:space="preserve"> </w:t>
      </w:r>
      <w:r w:rsidR="00570E98">
        <w:t>I</w:t>
      </w:r>
      <w:r>
        <w:t>f the</w:t>
      </w:r>
      <w:r w:rsidR="00570E98">
        <w:t xml:space="preserve"> two MOs</w:t>
      </w:r>
      <w:r>
        <w:t xml:space="preserve"> are configured </w:t>
      </w:r>
      <w:r w:rsidR="00570E98">
        <w:t xml:space="preserve">e.g. </w:t>
      </w:r>
      <w:r>
        <w:t xml:space="preserve">with different </w:t>
      </w:r>
      <w:r w:rsidR="00570E98">
        <w:t xml:space="preserve">SMTC </w:t>
      </w:r>
      <w:r>
        <w:t>period, offset or duration</w:t>
      </w:r>
      <w:r w:rsidR="00570E98">
        <w:t>, the UE will count the la</w:t>
      </w:r>
      <w:r w:rsidR="0065510E">
        <w:t>y</w:t>
      </w:r>
      <w:r w:rsidR="00570E98">
        <w:t>ers as one layer</w:t>
      </w:r>
      <w:r>
        <w:t xml:space="preserve">. </w:t>
      </w:r>
    </w:p>
    <w:p w14:paraId="54BBCF06" w14:textId="1A401A6A" w:rsidR="007D2DC1" w:rsidRDefault="007D2DC1" w:rsidP="007D2DC1">
      <w:pPr>
        <w:jc w:val="both"/>
      </w:pPr>
      <w:r>
        <w:t xml:space="preserve">Essentially the UE would perform one </w:t>
      </w:r>
      <w:r w:rsidR="00570E98">
        <w:t xml:space="preserve">physical </w:t>
      </w:r>
      <w:r>
        <w:t xml:space="preserve">measurement covering both MOs </w:t>
      </w:r>
      <w:r w:rsidR="00570E98">
        <w:t xml:space="preserve">(as they are for the same center frequency of the same SSB) </w:t>
      </w:r>
      <w:r>
        <w:t xml:space="preserve">and this measurement would be </w:t>
      </w:r>
      <w:r w:rsidR="00570E98">
        <w:t xml:space="preserve">for both MOs, </w:t>
      </w:r>
      <w:r>
        <w:t>account</w:t>
      </w:r>
      <w:r w:rsidR="00570E98">
        <w:t>ing</w:t>
      </w:r>
      <w:r>
        <w:t xml:space="preserve"> the UE overall measurement </w:t>
      </w:r>
      <w:r w:rsidR="001E36B5">
        <w:t>requirement for both MOs</w:t>
      </w:r>
      <w:r w:rsidR="00570E98">
        <w:t>. By counting the carrier frequency layers as one layer</w:t>
      </w:r>
      <w:r>
        <w:t xml:space="preserve"> the measurement performance scaling </w:t>
      </w:r>
      <w:r w:rsidR="00570E98">
        <w:t xml:space="preserve">as already defined </w:t>
      </w:r>
      <w:r>
        <w:t xml:space="preserve">would </w:t>
      </w:r>
      <w:r w:rsidR="00570E98">
        <w:t xml:space="preserve">already </w:t>
      </w:r>
      <w:r>
        <w:t xml:space="preserve">account </w:t>
      </w:r>
      <w:r w:rsidR="00570E98">
        <w:t xml:space="preserve">this </w:t>
      </w:r>
      <w:r>
        <w:t xml:space="preserve">measurement </w:t>
      </w:r>
      <w:r w:rsidR="00570E98">
        <w:t>approach</w:t>
      </w:r>
      <w:r>
        <w:t>.</w:t>
      </w:r>
    </w:p>
    <w:p w14:paraId="4401EF92" w14:textId="0E13476F" w:rsidR="007D2DC1" w:rsidRDefault="007D2DC1" w:rsidP="007D2DC1">
      <w:pPr>
        <w:jc w:val="both"/>
      </w:pPr>
      <w:r>
        <w:t>Our proposal is that in the situation described above the following principle would be followed:</w:t>
      </w:r>
    </w:p>
    <w:p w14:paraId="39C11A2E" w14:textId="4176F604" w:rsidR="009A2528" w:rsidRDefault="009A2528" w:rsidP="007D2DC1">
      <w:pPr>
        <w:jc w:val="both"/>
      </w:pPr>
      <w:r>
        <w:t xml:space="preserve">If MN and SN each separately configure a measurement object for the same carrier frequency layer, this is counted as one carrier frequency layer, if the MOs </w:t>
      </w:r>
      <w:r w:rsidR="001E36B5">
        <w:t>are</w:t>
      </w:r>
      <w:r>
        <w:t xml:space="preserve"> for same center frequency. Additionally:</w:t>
      </w:r>
    </w:p>
    <w:p w14:paraId="19509E71" w14:textId="4AF75E9F" w:rsidR="007D2DC1" w:rsidRDefault="007D2DC1" w:rsidP="007D2DC1">
      <w:pPr>
        <w:spacing w:after="0"/>
        <w:ind w:left="720"/>
        <w:jc w:val="both"/>
      </w:pPr>
      <w:r w:rsidRPr="000E4C07">
        <w:rPr>
          <w:b/>
        </w:rPr>
        <w:t>SMTC period:</w:t>
      </w:r>
      <w:r>
        <w:t xml:space="preserve"> If MN and SN configure different SMTC periods for the same carrier frequency, UE should take the </w:t>
      </w:r>
      <w:r w:rsidR="009A2528">
        <w:t>SMTC with the shortest SMTC</w:t>
      </w:r>
      <w:r>
        <w:t xml:space="preserve"> as the effective SMTC period for the carrier</w:t>
      </w:r>
      <w:r w:rsidR="009A2528">
        <w:t xml:space="preserve"> frequency layer.</w:t>
      </w:r>
      <w:r>
        <w:t xml:space="preserve"> </w:t>
      </w:r>
    </w:p>
    <w:p w14:paraId="44DB05D4" w14:textId="77777777" w:rsidR="007D2DC1" w:rsidRDefault="007D2DC1" w:rsidP="007D2DC1">
      <w:pPr>
        <w:spacing w:after="0"/>
        <w:ind w:left="720"/>
        <w:jc w:val="both"/>
      </w:pPr>
    </w:p>
    <w:p w14:paraId="217B795F" w14:textId="2A092F40" w:rsidR="007D2DC1" w:rsidRDefault="007D2DC1" w:rsidP="007D2DC1">
      <w:pPr>
        <w:spacing w:after="0"/>
        <w:ind w:left="720"/>
        <w:jc w:val="both"/>
      </w:pPr>
      <w:r w:rsidRPr="000E4C07">
        <w:rPr>
          <w:b/>
        </w:rPr>
        <w:t xml:space="preserve">SMTC </w:t>
      </w:r>
      <w:r w:rsidRPr="0065510E">
        <w:rPr>
          <w:b/>
        </w:rPr>
        <w:t>offset:</w:t>
      </w:r>
      <w:r w:rsidRPr="0065510E">
        <w:t xml:space="preserve"> If MN and SN configure different SMTC offsets for the same carrier frequency, </w:t>
      </w:r>
      <w:r w:rsidR="009A2528" w:rsidRPr="0065510E">
        <w:t xml:space="preserve">the </w:t>
      </w:r>
      <w:r w:rsidRPr="0065510E">
        <w:t xml:space="preserve">UE </w:t>
      </w:r>
      <w:r w:rsidR="009A2528" w:rsidRPr="0065510E">
        <w:t>selects the MN configuration to be used i.e. the UE would select MN SMTC offset.</w:t>
      </w:r>
      <w:r w:rsidR="0057587E" w:rsidRPr="0065510E">
        <w:t xml:space="preserve"> </w:t>
      </w:r>
    </w:p>
    <w:p w14:paraId="18EC05CF" w14:textId="77777777" w:rsidR="007D2DC1" w:rsidRDefault="007D2DC1" w:rsidP="007D2DC1">
      <w:pPr>
        <w:spacing w:after="0"/>
        <w:ind w:left="720"/>
        <w:jc w:val="both"/>
        <w:rPr>
          <w:lang w:val="en-GB"/>
        </w:rPr>
      </w:pPr>
    </w:p>
    <w:p w14:paraId="31A796F0" w14:textId="77777777" w:rsidR="007D2DC1" w:rsidRPr="009B211E" w:rsidRDefault="007D2DC1" w:rsidP="007D2DC1">
      <w:pPr>
        <w:spacing w:after="0"/>
        <w:ind w:left="720"/>
        <w:jc w:val="both"/>
        <w:rPr>
          <w:lang w:val="en-GB"/>
        </w:rPr>
      </w:pPr>
      <w:r w:rsidRPr="009B211E">
        <w:rPr>
          <w:b/>
          <w:lang w:val="en-GB"/>
        </w:rPr>
        <w:t>SMTC duration:</w:t>
      </w:r>
      <w:r w:rsidRPr="009B211E">
        <w:rPr>
          <w:lang w:val="en-GB"/>
        </w:rPr>
        <w:t xml:space="preserve"> </w:t>
      </w:r>
      <w:r w:rsidRPr="009B211E">
        <w:t>If MN and SN configure different SMTC durations for the same carrier frequency, UE should take the longest one as the effective SMTC duration for the target carrier.</w:t>
      </w:r>
    </w:p>
    <w:p w14:paraId="05564CA2" w14:textId="77777777" w:rsidR="007D2DC1" w:rsidRPr="009B211E" w:rsidRDefault="007D2DC1" w:rsidP="007D2DC1">
      <w:pPr>
        <w:jc w:val="both"/>
      </w:pPr>
    </w:p>
    <w:p w14:paraId="5AC6955A" w14:textId="42560C45" w:rsidR="007D2DC1" w:rsidRPr="009B211E" w:rsidRDefault="007D2DC1" w:rsidP="007D2DC1">
      <w:pPr>
        <w:jc w:val="both"/>
      </w:pPr>
      <w:r w:rsidRPr="009B211E">
        <w:t xml:space="preserve">With </w:t>
      </w:r>
      <w:r w:rsidR="004949F8" w:rsidRPr="009B211E">
        <w:t>this</w:t>
      </w:r>
      <w:r w:rsidRPr="009B211E">
        <w:t xml:space="preserve"> propos</w:t>
      </w:r>
      <w:r w:rsidR="004949F8" w:rsidRPr="009B211E">
        <w:t>al</w:t>
      </w:r>
      <w:r w:rsidRPr="009B211E">
        <w:t xml:space="preserve">, UE should always count the two MOs </w:t>
      </w:r>
      <w:r w:rsidR="004949F8" w:rsidRPr="009B211E">
        <w:t xml:space="preserve">for the carrier frequency layer </w:t>
      </w:r>
      <w:r w:rsidRPr="009B211E">
        <w:t xml:space="preserve">as one layer.  </w:t>
      </w:r>
    </w:p>
    <w:p w14:paraId="0F5C87DF" w14:textId="1F32067A" w:rsidR="007D2DC1" w:rsidRPr="009B211E" w:rsidRDefault="001E36B5" w:rsidP="007D2DC1">
      <w:pPr>
        <w:pStyle w:val="RAN4proposal"/>
      </w:pPr>
      <w:r>
        <w:t>If MN and SN each separately configure a measurement object for the same carrier frequency layer, this is counted as one carrier frequency layer, if the MOs are for same center frequency. Additionally:</w:t>
      </w:r>
    </w:p>
    <w:p w14:paraId="6BD5383F" w14:textId="017626CF" w:rsidR="007D2DC1" w:rsidRPr="009B211E" w:rsidRDefault="007D2DC1" w:rsidP="007D2DC1">
      <w:pPr>
        <w:pStyle w:val="RAN4proposal"/>
        <w:numPr>
          <w:ilvl w:val="1"/>
          <w:numId w:val="7"/>
        </w:numPr>
      </w:pPr>
      <w:r w:rsidRPr="009B211E">
        <w:t xml:space="preserve">If MN and SN </w:t>
      </w:r>
      <w:r w:rsidR="00CD5FDE" w:rsidRPr="009B211E">
        <w:t>configure different SMTC periods for the same carrier frequency, UE should take the SMTC with the shortest SMTC as the effective SMTC period for the carrier frequency layer.</w:t>
      </w:r>
    </w:p>
    <w:p w14:paraId="6DDBB89A" w14:textId="37CE0757" w:rsidR="007D2DC1" w:rsidRPr="009B211E" w:rsidRDefault="007D2DC1" w:rsidP="007D2DC1">
      <w:pPr>
        <w:pStyle w:val="RAN4proposal"/>
        <w:numPr>
          <w:ilvl w:val="1"/>
          <w:numId w:val="7"/>
        </w:numPr>
      </w:pPr>
      <w:r w:rsidRPr="009B211E">
        <w:t xml:space="preserve">If MN and SN </w:t>
      </w:r>
      <w:r w:rsidR="00CD5FDE" w:rsidRPr="009B211E">
        <w:t>configure different SMTC offsets for the same carrier frequency, the UE selects the MN configuration to be used i.e. the UE would select MN SMTC offset.</w:t>
      </w:r>
    </w:p>
    <w:p w14:paraId="2145E58E" w14:textId="77777777" w:rsidR="007D2DC1" w:rsidRPr="009B211E" w:rsidRDefault="007D2DC1" w:rsidP="007D2DC1">
      <w:pPr>
        <w:pStyle w:val="RAN4proposal"/>
        <w:numPr>
          <w:ilvl w:val="1"/>
          <w:numId w:val="7"/>
        </w:numPr>
      </w:pPr>
      <w:r w:rsidRPr="009B211E">
        <w:t>If MN and SN configure different SMTC durations for the same carrier frequency, UE should take the longest one as the effective SMTC duration for the target carrier.</w:t>
      </w:r>
    </w:p>
    <w:p w14:paraId="11844AEF" w14:textId="6F1D68FB" w:rsidR="007D2DC1" w:rsidRDefault="007D2DC1" w:rsidP="007D2DC1">
      <w:pPr>
        <w:jc w:val="both"/>
      </w:pPr>
      <w:r>
        <w:t xml:space="preserve">Considering </w:t>
      </w:r>
      <w:r w:rsidR="00A10B1F">
        <w:t xml:space="preserve">the UE </w:t>
      </w:r>
      <w:r>
        <w:t xml:space="preserve">measurement performance, </w:t>
      </w:r>
      <w:r w:rsidR="00A3141E">
        <w:t>as</w:t>
      </w:r>
      <w:r>
        <w:t xml:space="preserve"> the UE can perform the measurements of both </w:t>
      </w:r>
      <w:r w:rsidR="00A3141E">
        <w:t xml:space="preserve">configured </w:t>
      </w:r>
      <w:r>
        <w:t xml:space="preserve">MOs using one measurement gap, this </w:t>
      </w:r>
      <w:r w:rsidR="00A3141E">
        <w:t>c</w:t>
      </w:r>
      <w:r>
        <w:t>ould be accounted in performance. We see two different ways to do this, using the example in figure 1:</w:t>
      </w:r>
    </w:p>
    <w:p w14:paraId="1B3B7E34" w14:textId="77777777" w:rsidR="007D2DC1" w:rsidRPr="00B601AF" w:rsidRDefault="007D2DC1" w:rsidP="007D2DC1">
      <w:pPr>
        <w:pStyle w:val="ListParagraph"/>
        <w:numPr>
          <w:ilvl w:val="0"/>
          <w:numId w:val="25"/>
        </w:numPr>
        <w:spacing w:after="0" w:line="240" w:lineRule="auto"/>
        <w:jc w:val="both"/>
        <w:rPr>
          <w:szCs w:val="20"/>
        </w:rPr>
      </w:pPr>
      <w:r w:rsidRPr="00B601AF">
        <w:rPr>
          <w:szCs w:val="20"/>
        </w:rPr>
        <w:t>UE uses both measurement opportunities and the UE performance is accounting this (i.e. performance of both MO1 and MO2 is based on shortest SMTC and gap sharing – 20ms accounting sharing with other carriers).</w:t>
      </w:r>
    </w:p>
    <w:p w14:paraId="54656063" w14:textId="77777777" w:rsidR="007D2DC1" w:rsidRPr="00B601AF" w:rsidRDefault="007D2DC1" w:rsidP="007D2DC1">
      <w:pPr>
        <w:pStyle w:val="ListParagraph"/>
        <w:numPr>
          <w:ilvl w:val="0"/>
          <w:numId w:val="25"/>
        </w:numPr>
        <w:spacing w:after="0" w:line="240" w:lineRule="auto"/>
        <w:jc w:val="both"/>
        <w:rPr>
          <w:szCs w:val="20"/>
        </w:rPr>
      </w:pPr>
      <w:r w:rsidRPr="00B601AF">
        <w:rPr>
          <w:szCs w:val="20"/>
        </w:rPr>
        <w:t>UE uses one measurement opportunity and the UE performance is accounting this (i.e. the performance of MO1 and MO2 is based on SMTC of either MO1 or MO2 and then other gap sharing including freeing one gap for other measurements)</w:t>
      </w:r>
    </w:p>
    <w:p w14:paraId="502FAB74" w14:textId="77777777" w:rsidR="007D2DC1" w:rsidRDefault="007D2DC1" w:rsidP="007D2DC1">
      <w:pPr>
        <w:jc w:val="both"/>
      </w:pPr>
    </w:p>
    <w:p w14:paraId="4FD153C9" w14:textId="77777777" w:rsidR="007D2DC1" w:rsidRDefault="007D2DC1" w:rsidP="007D2DC1">
      <w:pPr>
        <w:jc w:val="both"/>
      </w:pPr>
      <w:r>
        <w:t>This in essence means that in option 1 the carriers are counted as one but with improved performance compared to if they were counted separately (i.e. as 2 carriers) – i.e. the MOs are counted as 1 MO and performance is based on 20ms SMTC. If on the other hand option 2 was taken the carriers would still be counted as 1 and performance would be based on same performance as for MO1 or MO2 – I.e. the MOs are counted as 1 MO and the performance is based on 40ms SMTC.</w:t>
      </w:r>
    </w:p>
    <w:p w14:paraId="2C882D46" w14:textId="369A28F6" w:rsidR="007D2DC1" w:rsidRPr="008B1CCA" w:rsidRDefault="007D2DC1" w:rsidP="007D2DC1">
      <w:pPr>
        <w:pStyle w:val="RAN4proposal"/>
      </w:pPr>
      <w:r w:rsidRPr="008B1CCA">
        <w:t>It should be clarified in the measurement performance requirements that independent</w:t>
      </w:r>
      <w:r>
        <w:t>ly</w:t>
      </w:r>
      <w:r w:rsidRPr="008B1CCA">
        <w:t xml:space="preserve"> of measuring both MOs or only one of them, the two MOs are counted as one.</w:t>
      </w:r>
    </w:p>
    <w:p w14:paraId="0DAA6F55" w14:textId="6CC4EB72" w:rsidR="007D2DC1" w:rsidRDefault="00A77D0E" w:rsidP="000D55F4">
      <w:pPr>
        <w:pStyle w:val="RAN4H2"/>
      </w:pPr>
      <w:r>
        <w:t>Specification impact</w:t>
      </w:r>
    </w:p>
    <w:p w14:paraId="797009A2" w14:textId="08B54D94" w:rsidR="000D55F4" w:rsidRDefault="000D55F4" w:rsidP="000D55F4">
      <w:r>
        <w:t xml:space="preserve">UE measurement capability requirements do not currently take into account the situation where PCell and PSCell configure the same carrier frequency layer to be monitored. </w:t>
      </w:r>
    </w:p>
    <w:p w14:paraId="5A2E8888" w14:textId="77777777" w:rsidR="000D55F4" w:rsidRDefault="000D55F4" w:rsidP="000D55F4">
      <w:r>
        <w:t>The requirements for the maximum number of monitored carriers for EN-DC in 38.133 are the following:</w:t>
      </w:r>
    </w:p>
    <w:p w14:paraId="4638ACD6" w14:textId="77777777" w:rsidR="000D55F4" w:rsidRPr="00AB6F1A" w:rsidRDefault="000D55F4" w:rsidP="000D55F4">
      <w:pPr>
        <w:keepNext/>
        <w:keepLines/>
        <w:pBdr>
          <w:top w:val="single" w:sz="4" w:space="1" w:color="auto"/>
          <w:left w:val="single" w:sz="4" w:space="4" w:color="auto"/>
          <w:bottom w:val="single" w:sz="4" w:space="1" w:color="auto"/>
          <w:right w:val="single" w:sz="4" w:space="4" w:color="auto"/>
        </w:pBdr>
        <w:spacing w:before="120" w:after="180" w:line="240" w:lineRule="auto"/>
        <w:ind w:left="1418" w:hanging="1418"/>
        <w:outlineLvl w:val="3"/>
        <w:rPr>
          <w:rFonts w:ascii="Arial" w:eastAsia="SimSun" w:hAnsi="Arial" w:cs="Times New Roman"/>
          <w:sz w:val="24"/>
          <w:szCs w:val="20"/>
          <w:lang w:val="en-GB"/>
        </w:rPr>
      </w:pPr>
      <w:bookmarkStart w:id="4" w:name="_Toc507712533"/>
      <w:r w:rsidRPr="00AB6F1A">
        <w:rPr>
          <w:rFonts w:ascii="Arial" w:eastAsia="SimSun" w:hAnsi="Arial" w:cs="Times New Roman"/>
          <w:sz w:val="24"/>
          <w:szCs w:val="20"/>
          <w:lang w:val="en-GB"/>
        </w:rPr>
        <w:t>9.1.3.2</w:t>
      </w:r>
      <w:r w:rsidRPr="00AB6F1A">
        <w:rPr>
          <w:rFonts w:ascii="Arial" w:eastAsia="SimSun" w:hAnsi="Arial" w:cs="Times New Roman"/>
          <w:sz w:val="24"/>
          <w:szCs w:val="20"/>
          <w:lang w:val="en-GB"/>
        </w:rPr>
        <w:tab/>
        <w:t>NSA: Maximum allowed layers for multiple monitoring</w:t>
      </w:r>
      <w:bookmarkEnd w:id="4"/>
    </w:p>
    <w:p w14:paraId="074B6902" w14:textId="77777777" w:rsidR="000D55F4" w:rsidRPr="00AB6F1A" w:rsidRDefault="000D55F4" w:rsidP="000D55F4">
      <w:pPr>
        <w:pBdr>
          <w:top w:val="single" w:sz="4" w:space="1" w:color="auto"/>
          <w:left w:val="single" w:sz="4" w:space="4" w:color="auto"/>
          <w:bottom w:val="single" w:sz="4" w:space="1" w:color="auto"/>
          <w:right w:val="single" w:sz="4" w:space="4" w:color="auto"/>
        </w:pBdr>
        <w:spacing w:after="180" w:line="240" w:lineRule="auto"/>
        <w:rPr>
          <w:rFonts w:eastAsia="SimSun" w:cs="Times New Roman"/>
          <w:szCs w:val="20"/>
          <w:lang w:val="en-GB" w:eastAsia="ko-KR"/>
        </w:rPr>
      </w:pPr>
      <w:r w:rsidRPr="00AB6F1A">
        <w:rPr>
          <w:rFonts w:eastAsia="SimSun" w:cs="Times New Roman"/>
          <w:szCs w:val="20"/>
          <w:lang w:val="en-GB" w:eastAsia="ko-KR"/>
        </w:rPr>
        <w:t>If a UE is configured with E-UTRA-NR dual connectivity operation, the UE shall be capable of monitoring at least:</w:t>
      </w:r>
    </w:p>
    <w:p w14:paraId="73082E57" w14:textId="77777777" w:rsidR="000D55F4" w:rsidRPr="00AB6F1A" w:rsidRDefault="000D55F4" w:rsidP="000D55F4">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 xml:space="preserve">Depending on UE capability, 7 NR inter-frequency carriers configured by PScell, and </w:t>
      </w:r>
    </w:p>
    <w:p w14:paraId="1BE6BDCA" w14:textId="77777777" w:rsidR="000D55F4" w:rsidRDefault="000D55F4" w:rsidP="000D55F4">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7 NR inter-RAT carriers configured by E-UTRA PCell [15], and</w:t>
      </w:r>
    </w:p>
    <w:p w14:paraId="7E0B9D5C" w14:textId="77777777" w:rsidR="000D55F4" w:rsidRPr="00AB6F1A" w:rsidRDefault="000D55F4" w:rsidP="000D55F4">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Pr>
          <w:rFonts w:eastAsia="SimSun" w:cs="Times New Roman"/>
          <w:szCs w:val="20"/>
          <w:lang w:val="en-GB"/>
        </w:rPr>
        <w:t xml:space="preserve">- </w:t>
      </w:r>
      <w:r>
        <w:rPr>
          <w:rFonts w:eastAsia="SimSun" w:cs="Times New Roman"/>
          <w:szCs w:val="20"/>
          <w:lang w:val="en-GB"/>
        </w:rPr>
        <w:tab/>
      </w:r>
      <w:r w:rsidRPr="00AB6F1A">
        <w:rPr>
          <w:rFonts w:eastAsia="SimSun" w:cs="Times New Roman"/>
          <w:szCs w:val="20"/>
          <w:lang w:val="en-GB"/>
        </w:rPr>
        <w:t>Depending on UE capability, 6 E-UTRA TDD inter-frequency carriers configured by E-UTRA PCell [15], and</w:t>
      </w:r>
    </w:p>
    <w:p w14:paraId="1EA0CE5B" w14:textId="77777777" w:rsidR="000D55F4" w:rsidRPr="00AB6F1A" w:rsidRDefault="000D55F4" w:rsidP="000D55F4">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6 E-UTRA FDD inter-frequency carriers configured by E-UTRA PCell [15], and</w:t>
      </w:r>
    </w:p>
    <w:p w14:paraId="1A193D52" w14:textId="77777777" w:rsidR="000D55F4" w:rsidRPr="00AB6F1A" w:rsidRDefault="000D55F4" w:rsidP="000D55F4">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3 FDD UTRA carriers, and</w:t>
      </w:r>
    </w:p>
    <w:p w14:paraId="55523879" w14:textId="77777777" w:rsidR="000D55F4" w:rsidRPr="00AB6F1A" w:rsidRDefault="000D55F4" w:rsidP="000D55F4">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3 TDD UTRA carriers, and</w:t>
      </w:r>
    </w:p>
    <w:p w14:paraId="4E4D50F3" w14:textId="77777777" w:rsidR="000D55F4" w:rsidRPr="00AB6F1A" w:rsidRDefault="000D55F4" w:rsidP="000D55F4">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32 GSM carriers (one GSM layer corresponds to 32 carriers)</w:t>
      </w:r>
    </w:p>
    <w:p w14:paraId="07274FB3" w14:textId="77777777" w:rsidR="000D55F4" w:rsidRPr="003544DE" w:rsidRDefault="000D55F4" w:rsidP="000D55F4">
      <w:pPr>
        <w:pBdr>
          <w:top w:val="single" w:sz="4" w:space="1" w:color="auto"/>
          <w:left w:val="single" w:sz="4" w:space="4" w:color="auto"/>
          <w:bottom w:val="single" w:sz="4" w:space="1" w:color="auto"/>
          <w:right w:val="single" w:sz="4" w:space="4" w:color="auto"/>
        </w:pBdr>
        <w:spacing w:after="180" w:line="240" w:lineRule="auto"/>
        <w:rPr>
          <w:rFonts w:eastAsia="SimSun" w:cs="Times New Roman"/>
          <w:szCs w:val="20"/>
          <w:lang w:val="en-GB"/>
        </w:rPr>
      </w:pPr>
      <w:r w:rsidRPr="00AB6F1A">
        <w:rPr>
          <w:rFonts w:eastAsia="SimSun" w:cs="Times New Roman"/>
          <w:iCs/>
          <w:szCs w:val="20"/>
          <w:lang w:val="en-GB"/>
        </w:rPr>
        <w:t xml:space="preserve">In addition to the requirements defined above, </w:t>
      </w:r>
      <w:r w:rsidRPr="00AB6F1A">
        <w:rPr>
          <w:rFonts w:eastAsia="SimSun" w:cs="Times New Roman"/>
          <w:szCs w:val="20"/>
          <w:lang w:val="en-GB"/>
        </w:rPr>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configured by E-UTRA PCell and/or PSCell. </w:t>
      </w:r>
    </w:p>
    <w:p w14:paraId="0A293C34" w14:textId="77777777" w:rsidR="000D55F4" w:rsidRPr="00AB6F1A" w:rsidRDefault="000D55F4" w:rsidP="000D55F4">
      <w:pPr>
        <w:keepLines/>
        <w:pBdr>
          <w:top w:val="single" w:sz="4" w:space="1" w:color="auto"/>
          <w:left w:val="single" w:sz="4" w:space="4" w:color="auto"/>
          <w:bottom w:val="single" w:sz="4" w:space="1" w:color="auto"/>
          <w:right w:val="single" w:sz="4" w:space="4" w:color="auto"/>
        </w:pBdr>
        <w:spacing w:after="180" w:line="240" w:lineRule="auto"/>
        <w:rPr>
          <w:rFonts w:eastAsia="SimSun" w:cs="Times New Roman"/>
          <w:szCs w:val="20"/>
          <w:lang w:val="en-GB"/>
        </w:rPr>
      </w:pPr>
      <w:r w:rsidRPr="00AB6F1A">
        <w:rPr>
          <w:rFonts w:eastAsia="SimSun" w:cs="Times New Roman"/>
          <w:iCs/>
          <w:szCs w:val="20"/>
          <w:lang w:val="en-GB" w:eastAsia="ko-KR"/>
        </w:rPr>
        <w:lastRenderedPageBreak/>
        <w:t>Note:</w:t>
      </w:r>
      <w:r w:rsidRPr="00AB6F1A">
        <w:rPr>
          <w:rFonts w:eastAsia="SimSun" w:cs="Times New Roman"/>
          <w:iCs/>
          <w:szCs w:val="20"/>
          <w:lang w:val="en-GB" w:eastAsia="ko-KR"/>
        </w:rPr>
        <w:tab/>
      </w:r>
      <w:r w:rsidRPr="00AB6F1A">
        <w:rPr>
          <w:rFonts w:eastAsia="SimSun" w:cs="Times New Roman"/>
          <w:szCs w:val="20"/>
          <w:lang w:val="en-GB"/>
        </w:rPr>
        <w:t>The E-UTRA-NR dual connectivity capable UE configured with PSCell shall fulfil the requirements defined in only one of Section 9.1.3.2 and Section 8.2.1.1b.1 of [15].</w:t>
      </w:r>
    </w:p>
    <w:p w14:paraId="6AF756E1" w14:textId="77777777" w:rsidR="000D55F4" w:rsidRDefault="000D55F4" w:rsidP="000D55F4">
      <w:r>
        <w:t>As defined in the requirements, NR carriers can be configured by both E-UTRA PCell (MN) and NR PSCell (SN). Hence, there is a possibility that both PCell and PSCell configure the same carrier, i.e. the same carrier is configured as two measurement objects. The current requirements do not state how the total number should be calculated in such situation.</w:t>
      </w:r>
    </w:p>
    <w:p w14:paraId="25F66A7F" w14:textId="77777777" w:rsidR="000D55F4" w:rsidRDefault="000D55F4" w:rsidP="000D55F4">
      <w:pPr>
        <w:jc w:val="both"/>
      </w:pPr>
      <w:r>
        <w:t xml:space="preserve">Our </w:t>
      </w:r>
      <w:r w:rsidRPr="004724A9">
        <w:t xml:space="preserve">view </w:t>
      </w:r>
      <w:r>
        <w:t xml:space="preserve">based on the previous discussions </w:t>
      </w:r>
      <w:r w:rsidRPr="004724A9">
        <w:t>is that in</w:t>
      </w:r>
      <w:r>
        <w:t xml:space="preserve"> the UE measurement capability requirements when PCell and PSCell configure the same carrier to be monitored, this carrier should be counted as one, and this should be clarified in the UE measurement capability requirements.</w:t>
      </w:r>
    </w:p>
    <w:p w14:paraId="7960512A" w14:textId="5989621C" w:rsidR="000D55F4" w:rsidRDefault="000D55F4" w:rsidP="000D55F4">
      <w:pPr>
        <w:jc w:val="both"/>
      </w:pPr>
      <w:r>
        <w:t>Specification-wise, addressing this situation could be handled by adding a clarifying sentence to the requirements, for example as below using 38.133 terminology:</w:t>
      </w:r>
    </w:p>
    <w:p w14:paraId="7F16BFF3" w14:textId="77777777" w:rsidR="000D55F4" w:rsidRPr="00F53E4A" w:rsidRDefault="000D55F4" w:rsidP="000D55F4">
      <w:pPr>
        <w:ind w:left="360"/>
        <w:jc w:val="both"/>
        <w:rPr>
          <w:i/>
        </w:rPr>
      </w:pPr>
      <w:r w:rsidRPr="00F53E4A">
        <w:rPr>
          <w:i/>
        </w:rPr>
        <w:t xml:space="preserve">If E-UTRA PCell and PSCell configure the same NR carrier frequency layer to be monitored, this carrier frequency layer shall be counted </w:t>
      </w:r>
      <w:r>
        <w:rPr>
          <w:i/>
        </w:rPr>
        <w:t xml:space="preserve">only </w:t>
      </w:r>
      <w:r w:rsidRPr="00F53E4A">
        <w:rPr>
          <w:i/>
        </w:rPr>
        <w:t>once to the total number of effective carrier frequency layers.</w:t>
      </w:r>
    </w:p>
    <w:p w14:paraId="7A34714C" w14:textId="77777777" w:rsidR="001E36B5" w:rsidRDefault="00A77D0E" w:rsidP="000D55F4">
      <w:r>
        <w:t>In [</w:t>
      </w:r>
      <w:r w:rsidR="007C2C0A">
        <w:t>5</w:t>
      </w:r>
      <w:r>
        <w:t>]</w:t>
      </w:r>
      <w:r w:rsidR="007C2C0A">
        <w:t xml:space="preserve"> and 6</w:t>
      </w:r>
      <w:r>
        <w:t xml:space="preserve"> we have provided CRs for </w:t>
      </w:r>
      <w:r w:rsidR="007C2C0A">
        <w:t xml:space="preserve">UE measurement capability requirements in </w:t>
      </w:r>
      <w:r>
        <w:t>36.133 and 38.133 respectively.</w:t>
      </w:r>
      <w:r w:rsidR="007C2C0A">
        <w:t xml:space="preserve"> </w:t>
      </w:r>
    </w:p>
    <w:p w14:paraId="74CF5744" w14:textId="30EDA0A0" w:rsidR="00A77D0E" w:rsidRPr="000D55F4" w:rsidRDefault="007C2C0A" w:rsidP="000D55F4">
      <w:r>
        <w:t xml:space="preserve">Additionally, </w:t>
      </w:r>
      <w:r w:rsidR="001E36B5">
        <w:t>inter-frequency requirements in section 9.3 of 38.133 would need to account Proposal 1. W</w:t>
      </w:r>
      <w:r>
        <w:t>e have updated inter-frequency requirement section to account for SMTC configuration handling in [7].</w:t>
      </w:r>
    </w:p>
    <w:p w14:paraId="0655C82E" w14:textId="77777777" w:rsidR="00CD7492" w:rsidRDefault="00CD7492" w:rsidP="00A37002">
      <w:pPr>
        <w:pStyle w:val="RAN4H1"/>
      </w:pPr>
      <w:r w:rsidRPr="00A37002">
        <w:t>Conclusion</w:t>
      </w:r>
    </w:p>
    <w:p w14:paraId="23ED3600" w14:textId="5A088B07" w:rsidR="00974371" w:rsidRDefault="00FD4BCF" w:rsidP="00974371">
      <w:pPr>
        <w:rPr>
          <w:lang w:val="en-GB"/>
        </w:rPr>
      </w:pPr>
      <w:r>
        <w:rPr>
          <w:lang w:val="en-GB"/>
        </w:rPr>
        <w:t>In this contribution we have discussed how to handle a situation where MN and SN configure MO separately for the same carrier frequency layer. We have made the following proposals:</w:t>
      </w:r>
    </w:p>
    <w:p w14:paraId="0DD72478" w14:textId="77777777" w:rsidR="001E36B5" w:rsidRPr="009B211E" w:rsidRDefault="001E36B5" w:rsidP="001E36B5">
      <w:pPr>
        <w:pStyle w:val="RAN4proposal"/>
        <w:numPr>
          <w:ilvl w:val="0"/>
          <w:numId w:val="28"/>
        </w:numPr>
      </w:pPr>
      <w:r>
        <w:t>If MN and SN each separately configure a measurement object for the same carrier frequency layer, this is counted as one carrier frequency layer, if the MOs are for same center frequency. Additionally:</w:t>
      </w:r>
    </w:p>
    <w:p w14:paraId="119EB669" w14:textId="77777777" w:rsidR="001E36B5" w:rsidRPr="009B211E" w:rsidRDefault="001E36B5" w:rsidP="001E36B5">
      <w:pPr>
        <w:pStyle w:val="RAN4proposal"/>
        <w:numPr>
          <w:ilvl w:val="1"/>
          <w:numId w:val="7"/>
        </w:numPr>
      </w:pPr>
      <w:r w:rsidRPr="009B211E">
        <w:t>If MN and SN configure different SMTC periods for the same carrier frequency, UE should take the SMTC with the shortest SMTC as the effective SMTC period for the carrier frequency layer.</w:t>
      </w:r>
    </w:p>
    <w:p w14:paraId="10C89112" w14:textId="77777777" w:rsidR="001E36B5" w:rsidRPr="009B211E" w:rsidRDefault="001E36B5" w:rsidP="001E36B5">
      <w:pPr>
        <w:pStyle w:val="RAN4proposal"/>
        <w:numPr>
          <w:ilvl w:val="1"/>
          <w:numId w:val="7"/>
        </w:numPr>
      </w:pPr>
      <w:r w:rsidRPr="009B211E">
        <w:t>If MN and SN configure different SMTC offsets for the same carrier frequency, the UE selects the MN configuration to be used i.e. the UE would select MN SMTC offset.</w:t>
      </w:r>
    </w:p>
    <w:p w14:paraId="7972187B" w14:textId="77777777" w:rsidR="001E36B5" w:rsidRPr="009B211E" w:rsidRDefault="001E36B5" w:rsidP="001E36B5">
      <w:pPr>
        <w:pStyle w:val="RAN4proposal"/>
        <w:numPr>
          <w:ilvl w:val="1"/>
          <w:numId w:val="7"/>
        </w:numPr>
      </w:pPr>
      <w:r w:rsidRPr="009B211E">
        <w:t>If MN and SN configure different SMTC durations for the same carrier frequency, UE should take the longest one as the effective SMTC duration for the target carrier.</w:t>
      </w:r>
    </w:p>
    <w:p w14:paraId="38AD98C3" w14:textId="6BA40A3D" w:rsidR="00FD4BCF" w:rsidRPr="00FD4BCF" w:rsidRDefault="001E36B5" w:rsidP="00974371">
      <w:pPr>
        <w:pStyle w:val="RAN4proposal"/>
      </w:pPr>
      <w:r w:rsidRPr="008B1CCA">
        <w:t>It should be clarified in the measurement performance requirements that independent</w:t>
      </w:r>
      <w:r>
        <w:t>ly</w:t>
      </w:r>
      <w:r w:rsidRPr="008B1CCA">
        <w:t xml:space="preserve"> of measuring both MOs or only one of them, the two MOs are counted as one.</w:t>
      </w:r>
    </w:p>
    <w:p w14:paraId="5E3D54B2" w14:textId="77777777" w:rsidR="003B659E" w:rsidRPr="008F7BBC" w:rsidRDefault="003B659E" w:rsidP="00974371">
      <w:pPr>
        <w:pStyle w:val="RAN4H1"/>
        <w:numPr>
          <w:ilvl w:val="0"/>
          <w:numId w:val="0"/>
        </w:numPr>
        <w:ind w:left="360" w:hanging="360"/>
      </w:pPr>
      <w:r w:rsidRPr="008F7BBC">
        <w:t>References</w:t>
      </w:r>
    </w:p>
    <w:p w14:paraId="4AFA60F6" w14:textId="55C72378" w:rsidR="00504EE9" w:rsidRDefault="008F7BBC" w:rsidP="008F7BB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F7BBC">
        <w:rPr>
          <w:rFonts w:eastAsia="Times New Roman" w:cs="Times New Roman"/>
          <w:szCs w:val="20"/>
          <w:lang w:val="en-GB"/>
        </w:rPr>
        <w:t>R4-1805960, Way forward on UE requirements with same MO configured by MN and SN, Nokia, 3GPP TSG-RAN WG4 Meeting #86bis, Melbourne, Australia, 16 – 20 April 2018.</w:t>
      </w:r>
    </w:p>
    <w:p w14:paraId="0B7A2820" w14:textId="03F442B9" w:rsidR="001A7936" w:rsidRPr="001A7936" w:rsidRDefault="001A7936" w:rsidP="001A7936">
      <w:pPr>
        <w:numPr>
          <w:ilvl w:val="0"/>
          <w:numId w:val="1"/>
        </w:numPr>
        <w:overflowPunct w:val="0"/>
        <w:autoSpaceDE w:val="0"/>
        <w:autoSpaceDN w:val="0"/>
        <w:adjustRightInd w:val="0"/>
        <w:spacing w:after="120"/>
        <w:jc w:val="both"/>
        <w:textAlignment w:val="baseline"/>
        <w:rPr>
          <w:rFonts w:eastAsia="Times New Roman" w:cs="Times New Roman"/>
          <w:szCs w:val="20"/>
        </w:rPr>
      </w:pPr>
      <w:r w:rsidRPr="001A7936">
        <w:rPr>
          <w:rFonts w:eastAsia="Times New Roman" w:cs="Times New Roman"/>
          <w:szCs w:val="20"/>
        </w:rPr>
        <w:t xml:space="preserve"> [2] </w:t>
      </w:r>
      <w:r w:rsidRPr="001A7936">
        <w:rPr>
          <w:rFonts w:eastAsia="Times New Roman" w:cs="Times New Roman"/>
          <w:szCs w:val="20"/>
          <w:lang w:val="en-GB"/>
        </w:rPr>
        <w:t>R4-1706905, Reply LS on UE measurement capabilities across LTE and NR, RAN4 to RAN2, 3GPP TSG-RAN WG4 Meeting NR #2, Qingdao, China, 27 - 29 June, 2017.</w:t>
      </w:r>
    </w:p>
    <w:p w14:paraId="53A8A71B" w14:textId="0EE4BFA1" w:rsidR="001A7936" w:rsidRPr="001A7936" w:rsidRDefault="001A7936" w:rsidP="001A7936">
      <w:pPr>
        <w:numPr>
          <w:ilvl w:val="0"/>
          <w:numId w:val="1"/>
        </w:numPr>
        <w:overflowPunct w:val="0"/>
        <w:autoSpaceDE w:val="0"/>
        <w:autoSpaceDN w:val="0"/>
        <w:adjustRightInd w:val="0"/>
        <w:spacing w:after="120"/>
        <w:jc w:val="both"/>
        <w:textAlignment w:val="baseline"/>
        <w:rPr>
          <w:rFonts w:eastAsia="Times New Roman" w:cs="Times New Roman"/>
          <w:szCs w:val="20"/>
        </w:rPr>
      </w:pPr>
      <w:r w:rsidRPr="001A7936">
        <w:rPr>
          <w:rFonts w:eastAsia="Times New Roman" w:cs="Times New Roman"/>
          <w:szCs w:val="20"/>
          <w:lang w:val="en-GB"/>
        </w:rPr>
        <w:t>[3] R4-</w:t>
      </w:r>
      <w:r w:rsidRPr="001A7936">
        <w:rPr>
          <w:rFonts w:eastAsia="Times New Roman" w:cs="Times New Roman"/>
          <w:szCs w:val="20"/>
        </w:rPr>
        <w:t xml:space="preserve">1708694, Reply LS on UE measurement capabilities across LTE and NR, RAN4 to RAN2, </w:t>
      </w:r>
      <w:r w:rsidRPr="001A7936">
        <w:rPr>
          <w:rFonts w:eastAsia="Times New Roman" w:cs="Times New Roman"/>
          <w:szCs w:val="20"/>
          <w:lang w:val="en-GB"/>
        </w:rPr>
        <w:t>3GPP TSG-RAN WG4 #84 Meeting, Berlin, Germany, 2</w:t>
      </w:r>
      <w:r>
        <w:rPr>
          <w:rFonts w:eastAsia="Times New Roman" w:cs="Times New Roman"/>
          <w:szCs w:val="20"/>
          <w:lang w:val="en-GB"/>
        </w:rPr>
        <w:t>1th – 25th August 2017</w:t>
      </w:r>
    </w:p>
    <w:p w14:paraId="02669BB5" w14:textId="0B01F385" w:rsidR="00687FA0" w:rsidRDefault="001A7936" w:rsidP="001A7936">
      <w:pPr>
        <w:numPr>
          <w:ilvl w:val="0"/>
          <w:numId w:val="1"/>
        </w:numPr>
        <w:overflowPunct w:val="0"/>
        <w:autoSpaceDE w:val="0"/>
        <w:autoSpaceDN w:val="0"/>
        <w:adjustRightInd w:val="0"/>
        <w:spacing w:after="120"/>
        <w:jc w:val="both"/>
        <w:textAlignment w:val="baseline"/>
        <w:rPr>
          <w:rFonts w:eastAsia="Times New Roman" w:cs="Times New Roman"/>
          <w:szCs w:val="20"/>
        </w:rPr>
      </w:pPr>
      <w:r w:rsidRPr="001A7936">
        <w:rPr>
          <w:rFonts w:eastAsia="Times New Roman" w:cs="Times New Roman"/>
          <w:szCs w:val="20"/>
        </w:rPr>
        <w:t>R2-1706140, LS on UE measuremen</w:t>
      </w:r>
      <w:bookmarkStart w:id="5" w:name="_GoBack"/>
      <w:bookmarkEnd w:id="5"/>
      <w:r w:rsidRPr="001A7936">
        <w:rPr>
          <w:rFonts w:eastAsia="Times New Roman" w:cs="Times New Roman"/>
          <w:szCs w:val="20"/>
        </w:rPr>
        <w:t>t capabilities across LTE and NR, RAN2 to RAN4, 3GPP TSG-RAN WG2 Meeting #98, Hangzhou, China, 15th – 19th May 2017.</w:t>
      </w:r>
    </w:p>
    <w:p w14:paraId="64E7F2FB" w14:textId="526A444B" w:rsidR="001944BE" w:rsidRPr="00AC7558" w:rsidRDefault="001944BE" w:rsidP="001944BE">
      <w:pPr>
        <w:numPr>
          <w:ilvl w:val="0"/>
          <w:numId w:val="1"/>
        </w:numPr>
        <w:overflowPunct w:val="0"/>
        <w:autoSpaceDE w:val="0"/>
        <w:autoSpaceDN w:val="0"/>
        <w:adjustRightInd w:val="0"/>
        <w:spacing w:after="120"/>
        <w:jc w:val="both"/>
        <w:textAlignment w:val="baseline"/>
        <w:rPr>
          <w:rFonts w:eastAsia="Times New Roman" w:cs="Times New Roman"/>
          <w:szCs w:val="20"/>
        </w:rPr>
      </w:pPr>
      <w:r>
        <w:rPr>
          <w:rFonts w:eastAsia="Times New Roman" w:cs="Times New Roman"/>
          <w:szCs w:val="20"/>
        </w:rPr>
        <w:t xml:space="preserve">R4-1805269, </w:t>
      </w:r>
      <w:r w:rsidRPr="001944BE">
        <w:rPr>
          <w:rFonts w:eastAsia="Times New Roman" w:cs="Times New Roman"/>
          <w:szCs w:val="20"/>
        </w:rPr>
        <w:t>Discussion on UE requirements with same MO configured by MN and SN</w:t>
      </w:r>
      <w:r>
        <w:rPr>
          <w:rFonts w:eastAsia="Times New Roman" w:cs="Times New Roman"/>
          <w:szCs w:val="20"/>
        </w:rPr>
        <w:t xml:space="preserve">, </w:t>
      </w:r>
      <w:r w:rsidRPr="001944BE">
        <w:rPr>
          <w:rFonts w:eastAsia="Times New Roman" w:cs="Times New Roman"/>
          <w:szCs w:val="20"/>
        </w:rPr>
        <w:t>Nokia, Nokia Shanghai Bell</w:t>
      </w:r>
      <w:r>
        <w:rPr>
          <w:rFonts w:eastAsia="Times New Roman" w:cs="Times New Roman"/>
          <w:szCs w:val="20"/>
        </w:rPr>
        <w:t xml:space="preserve">, </w:t>
      </w:r>
      <w:r w:rsidRPr="008F7BBC">
        <w:rPr>
          <w:rFonts w:eastAsia="Times New Roman" w:cs="Times New Roman"/>
          <w:szCs w:val="20"/>
          <w:lang w:val="en-GB"/>
        </w:rPr>
        <w:t>3GPP TSG-RAN WG4 Meeting #86bis, Melbourne, Australia, 16 – 20 April 2018.</w:t>
      </w:r>
    </w:p>
    <w:p w14:paraId="37D50D33" w14:textId="1BBCB109" w:rsidR="00AC7558" w:rsidRPr="00760D83" w:rsidRDefault="00D94A7C" w:rsidP="00D94A7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94A7C">
        <w:rPr>
          <w:rFonts w:eastAsia="SimSun" w:cs="Times New Roman"/>
          <w:szCs w:val="20"/>
          <w:lang w:val="en-GB"/>
        </w:rPr>
        <w:t>R4-1807766</w:t>
      </w:r>
      <w:r w:rsidR="00AC7558" w:rsidRPr="00760D83">
        <w:rPr>
          <w:rFonts w:eastAsia="SimSun" w:cs="Times New Roman"/>
          <w:szCs w:val="20"/>
          <w:lang w:val="en-GB"/>
        </w:rPr>
        <w:t xml:space="preserve">, CR for 36.133 on UE measurement capability requirements with same carrier configured by MN and SN, Nokia, Nokia Shanghai Bell, </w:t>
      </w:r>
      <w:r w:rsidR="00AC7558">
        <w:t>3GPP TSG-RAN WG4 Meeting #87, Busan, Korea (Republic of), 21-25 May 2018.</w:t>
      </w:r>
    </w:p>
    <w:p w14:paraId="51CAD7D2" w14:textId="51A25D22" w:rsidR="00AC7558" w:rsidRPr="00AC7558" w:rsidRDefault="00D94A7C" w:rsidP="00D94A7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94A7C">
        <w:rPr>
          <w:rFonts w:eastAsia="SimSun" w:cs="Times New Roman"/>
          <w:szCs w:val="20"/>
          <w:lang w:val="en-GB"/>
        </w:rPr>
        <w:lastRenderedPageBreak/>
        <w:t>R4-1807765</w:t>
      </w:r>
      <w:r w:rsidR="00AC7558" w:rsidRPr="00760D83">
        <w:rPr>
          <w:rFonts w:eastAsia="SimSun" w:cs="Times New Roman"/>
          <w:szCs w:val="20"/>
          <w:lang w:val="en-GB"/>
        </w:rPr>
        <w:t xml:space="preserve">, CR for 38.133 on UE measurement capability requirements with same carrier configured by MN and SN, Nokia, Nokia Shanghai Bell, Nokia, Nokia Shanghai Bell, </w:t>
      </w:r>
      <w:r w:rsidR="00AC7558">
        <w:t>3GPP TSG-RAN WG4 Meeting #87, Busan, Korea (Republic of), 21-25 May 2018.</w:t>
      </w:r>
    </w:p>
    <w:p w14:paraId="665CD90B" w14:textId="7CCCA887" w:rsidR="00AC7558" w:rsidRPr="001944BE" w:rsidRDefault="00AC7558" w:rsidP="00AC7558">
      <w:pPr>
        <w:numPr>
          <w:ilvl w:val="0"/>
          <w:numId w:val="1"/>
        </w:numPr>
        <w:overflowPunct w:val="0"/>
        <w:autoSpaceDE w:val="0"/>
        <w:autoSpaceDN w:val="0"/>
        <w:adjustRightInd w:val="0"/>
        <w:spacing w:after="120"/>
        <w:jc w:val="both"/>
        <w:textAlignment w:val="baseline"/>
        <w:rPr>
          <w:rFonts w:eastAsia="Times New Roman" w:cs="Times New Roman"/>
          <w:szCs w:val="20"/>
        </w:rPr>
      </w:pPr>
      <w:r>
        <w:t>R4-1807550, Inter-frequency measurements requirements Nokia, Nokia Shanghai Bell, 3GPP TSG-RAN WG4 Meeting #87, Busan, Korea (Republic of), 21-25 May 2018.</w:t>
      </w:r>
    </w:p>
    <w:sectPr w:rsidR="00AC7558" w:rsidRPr="001944B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037B4" w14:textId="77777777" w:rsidR="00AC5BFC" w:rsidRDefault="00AC5BFC" w:rsidP="00001C9B">
      <w:pPr>
        <w:spacing w:after="0" w:line="240" w:lineRule="auto"/>
      </w:pPr>
      <w:r>
        <w:separator/>
      </w:r>
    </w:p>
  </w:endnote>
  <w:endnote w:type="continuationSeparator" w:id="0">
    <w:p w14:paraId="3AC439BB" w14:textId="77777777" w:rsidR="00AC5BFC" w:rsidRDefault="00AC5BF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3FC5C" w14:textId="77777777" w:rsidR="00AC5BFC" w:rsidRDefault="00AC5BFC" w:rsidP="00001C9B">
      <w:pPr>
        <w:spacing w:after="0" w:line="240" w:lineRule="auto"/>
      </w:pPr>
      <w:r>
        <w:separator/>
      </w:r>
    </w:p>
  </w:footnote>
  <w:footnote w:type="continuationSeparator" w:id="0">
    <w:p w14:paraId="60308744" w14:textId="77777777" w:rsidR="00AC5BFC" w:rsidRDefault="00AC5BF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605547"/>
    <w:multiLevelType w:val="hybridMultilevel"/>
    <w:tmpl w:val="713C7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85DE9"/>
    <w:multiLevelType w:val="hybridMultilevel"/>
    <w:tmpl w:val="F33AA6FA"/>
    <w:lvl w:ilvl="0" w:tplc="35347A7C">
      <w:start w:val="1"/>
      <w:numFmt w:val="bullet"/>
      <w:lvlText w:val="•"/>
      <w:lvlJc w:val="left"/>
      <w:pPr>
        <w:tabs>
          <w:tab w:val="num" w:pos="720"/>
        </w:tabs>
        <w:ind w:left="720" w:hanging="360"/>
      </w:pPr>
      <w:rPr>
        <w:rFonts w:ascii="Arial" w:hAnsi="Arial" w:hint="default"/>
      </w:rPr>
    </w:lvl>
    <w:lvl w:ilvl="1" w:tplc="89D8AF86">
      <w:numFmt w:val="bullet"/>
      <w:lvlText w:val="•"/>
      <w:lvlJc w:val="left"/>
      <w:pPr>
        <w:tabs>
          <w:tab w:val="num" w:pos="1440"/>
        </w:tabs>
        <w:ind w:left="1440" w:hanging="360"/>
      </w:pPr>
      <w:rPr>
        <w:rFonts w:ascii="Arial" w:hAnsi="Arial" w:hint="default"/>
      </w:rPr>
    </w:lvl>
    <w:lvl w:ilvl="2" w:tplc="5CDA8536" w:tentative="1">
      <w:start w:val="1"/>
      <w:numFmt w:val="bullet"/>
      <w:lvlText w:val="•"/>
      <w:lvlJc w:val="left"/>
      <w:pPr>
        <w:tabs>
          <w:tab w:val="num" w:pos="2160"/>
        </w:tabs>
        <w:ind w:left="2160" w:hanging="360"/>
      </w:pPr>
      <w:rPr>
        <w:rFonts w:ascii="Arial" w:hAnsi="Arial" w:hint="default"/>
      </w:rPr>
    </w:lvl>
    <w:lvl w:ilvl="3" w:tplc="C83C1D86" w:tentative="1">
      <w:start w:val="1"/>
      <w:numFmt w:val="bullet"/>
      <w:lvlText w:val="•"/>
      <w:lvlJc w:val="left"/>
      <w:pPr>
        <w:tabs>
          <w:tab w:val="num" w:pos="2880"/>
        </w:tabs>
        <w:ind w:left="2880" w:hanging="360"/>
      </w:pPr>
      <w:rPr>
        <w:rFonts w:ascii="Arial" w:hAnsi="Arial" w:hint="default"/>
      </w:rPr>
    </w:lvl>
    <w:lvl w:ilvl="4" w:tplc="F61AE180" w:tentative="1">
      <w:start w:val="1"/>
      <w:numFmt w:val="bullet"/>
      <w:lvlText w:val="•"/>
      <w:lvlJc w:val="left"/>
      <w:pPr>
        <w:tabs>
          <w:tab w:val="num" w:pos="3600"/>
        </w:tabs>
        <w:ind w:left="3600" w:hanging="360"/>
      </w:pPr>
      <w:rPr>
        <w:rFonts w:ascii="Arial" w:hAnsi="Arial" w:hint="default"/>
      </w:rPr>
    </w:lvl>
    <w:lvl w:ilvl="5" w:tplc="6C8C9028" w:tentative="1">
      <w:start w:val="1"/>
      <w:numFmt w:val="bullet"/>
      <w:lvlText w:val="•"/>
      <w:lvlJc w:val="left"/>
      <w:pPr>
        <w:tabs>
          <w:tab w:val="num" w:pos="4320"/>
        </w:tabs>
        <w:ind w:left="4320" w:hanging="360"/>
      </w:pPr>
      <w:rPr>
        <w:rFonts w:ascii="Arial" w:hAnsi="Arial" w:hint="default"/>
      </w:rPr>
    </w:lvl>
    <w:lvl w:ilvl="6" w:tplc="C5B436A4" w:tentative="1">
      <w:start w:val="1"/>
      <w:numFmt w:val="bullet"/>
      <w:lvlText w:val="•"/>
      <w:lvlJc w:val="left"/>
      <w:pPr>
        <w:tabs>
          <w:tab w:val="num" w:pos="5040"/>
        </w:tabs>
        <w:ind w:left="5040" w:hanging="360"/>
      </w:pPr>
      <w:rPr>
        <w:rFonts w:ascii="Arial" w:hAnsi="Arial" w:hint="default"/>
      </w:rPr>
    </w:lvl>
    <w:lvl w:ilvl="7" w:tplc="A25E64CE" w:tentative="1">
      <w:start w:val="1"/>
      <w:numFmt w:val="bullet"/>
      <w:lvlText w:val="•"/>
      <w:lvlJc w:val="left"/>
      <w:pPr>
        <w:tabs>
          <w:tab w:val="num" w:pos="5760"/>
        </w:tabs>
        <w:ind w:left="5760" w:hanging="360"/>
      </w:pPr>
      <w:rPr>
        <w:rFonts w:ascii="Arial" w:hAnsi="Arial" w:hint="default"/>
      </w:rPr>
    </w:lvl>
    <w:lvl w:ilvl="8" w:tplc="AE4410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6767D7"/>
    <w:multiLevelType w:val="hybridMultilevel"/>
    <w:tmpl w:val="1DE2A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23BAD90E"/>
    <w:lvl w:ilvl="0" w:tplc="A8625BE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132E65"/>
    <w:multiLevelType w:val="hybridMultilevel"/>
    <w:tmpl w:val="09623094"/>
    <w:lvl w:ilvl="0" w:tplc="0409000F">
      <w:start w:val="1"/>
      <w:numFmt w:val="decimal"/>
      <w:lvlText w:val="%1."/>
      <w:lvlJc w:val="left"/>
      <w:pPr>
        <w:ind w:left="720" w:hanging="360"/>
      </w:pPr>
      <w:rPr>
        <w:rFonts w:hint="default"/>
        <w:b/>
        <w:i w:val="0"/>
        <w:color w:val="auto"/>
        <w:sz w:val="24"/>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5FF1A3A"/>
    <w:multiLevelType w:val="hybridMultilevel"/>
    <w:tmpl w:val="CDFA6AAC"/>
    <w:lvl w:ilvl="0" w:tplc="DAE4D82A">
      <w:start w:val="1"/>
      <w:numFmt w:val="bullet"/>
      <w:lvlText w:val="•"/>
      <w:lvlJc w:val="left"/>
      <w:pPr>
        <w:tabs>
          <w:tab w:val="num" w:pos="720"/>
        </w:tabs>
        <w:ind w:left="720" w:hanging="360"/>
      </w:pPr>
      <w:rPr>
        <w:rFonts w:ascii="Arial" w:hAnsi="Arial" w:hint="default"/>
      </w:rPr>
    </w:lvl>
    <w:lvl w:ilvl="1" w:tplc="79867FC6" w:tentative="1">
      <w:start w:val="1"/>
      <w:numFmt w:val="bullet"/>
      <w:lvlText w:val="•"/>
      <w:lvlJc w:val="left"/>
      <w:pPr>
        <w:tabs>
          <w:tab w:val="num" w:pos="1440"/>
        </w:tabs>
        <w:ind w:left="1440" w:hanging="360"/>
      </w:pPr>
      <w:rPr>
        <w:rFonts w:ascii="Arial" w:hAnsi="Arial" w:hint="default"/>
      </w:rPr>
    </w:lvl>
    <w:lvl w:ilvl="2" w:tplc="62A61A36" w:tentative="1">
      <w:start w:val="1"/>
      <w:numFmt w:val="bullet"/>
      <w:lvlText w:val="•"/>
      <w:lvlJc w:val="left"/>
      <w:pPr>
        <w:tabs>
          <w:tab w:val="num" w:pos="2160"/>
        </w:tabs>
        <w:ind w:left="2160" w:hanging="360"/>
      </w:pPr>
      <w:rPr>
        <w:rFonts w:ascii="Arial" w:hAnsi="Arial" w:hint="default"/>
      </w:rPr>
    </w:lvl>
    <w:lvl w:ilvl="3" w:tplc="F9B2C378" w:tentative="1">
      <w:start w:val="1"/>
      <w:numFmt w:val="bullet"/>
      <w:lvlText w:val="•"/>
      <w:lvlJc w:val="left"/>
      <w:pPr>
        <w:tabs>
          <w:tab w:val="num" w:pos="2880"/>
        </w:tabs>
        <w:ind w:left="2880" w:hanging="360"/>
      </w:pPr>
      <w:rPr>
        <w:rFonts w:ascii="Arial" w:hAnsi="Arial" w:hint="default"/>
      </w:rPr>
    </w:lvl>
    <w:lvl w:ilvl="4" w:tplc="78385B54" w:tentative="1">
      <w:start w:val="1"/>
      <w:numFmt w:val="bullet"/>
      <w:lvlText w:val="•"/>
      <w:lvlJc w:val="left"/>
      <w:pPr>
        <w:tabs>
          <w:tab w:val="num" w:pos="3600"/>
        </w:tabs>
        <w:ind w:left="3600" w:hanging="360"/>
      </w:pPr>
      <w:rPr>
        <w:rFonts w:ascii="Arial" w:hAnsi="Arial" w:hint="default"/>
      </w:rPr>
    </w:lvl>
    <w:lvl w:ilvl="5" w:tplc="0A6AE4EC" w:tentative="1">
      <w:start w:val="1"/>
      <w:numFmt w:val="bullet"/>
      <w:lvlText w:val="•"/>
      <w:lvlJc w:val="left"/>
      <w:pPr>
        <w:tabs>
          <w:tab w:val="num" w:pos="4320"/>
        </w:tabs>
        <w:ind w:left="4320" w:hanging="360"/>
      </w:pPr>
      <w:rPr>
        <w:rFonts w:ascii="Arial" w:hAnsi="Arial" w:hint="default"/>
      </w:rPr>
    </w:lvl>
    <w:lvl w:ilvl="6" w:tplc="C3D0A638" w:tentative="1">
      <w:start w:val="1"/>
      <w:numFmt w:val="bullet"/>
      <w:lvlText w:val="•"/>
      <w:lvlJc w:val="left"/>
      <w:pPr>
        <w:tabs>
          <w:tab w:val="num" w:pos="5040"/>
        </w:tabs>
        <w:ind w:left="5040" w:hanging="360"/>
      </w:pPr>
      <w:rPr>
        <w:rFonts w:ascii="Arial" w:hAnsi="Arial" w:hint="default"/>
      </w:rPr>
    </w:lvl>
    <w:lvl w:ilvl="7" w:tplc="359AC42E" w:tentative="1">
      <w:start w:val="1"/>
      <w:numFmt w:val="bullet"/>
      <w:lvlText w:val="•"/>
      <w:lvlJc w:val="left"/>
      <w:pPr>
        <w:tabs>
          <w:tab w:val="num" w:pos="5760"/>
        </w:tabs>
        <w:ind w:left="5760" w:hanging="360"/>
      </w:pPr>
      <w:rPr>
        <w:rFonts w:ascii="Arial" w:hAnsi="Arial" w:hint="default"/>
      </w:rPr>
    </w:lvl>
    <w:lvl w:ilvl="8" w:tplc="C3A2A3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2"/>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5"/>
  </w:num>
  <w:num w:numId="16">
    <w:abstractNumId w:val="1"/>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4"/>
  </w:num>
  <w:num w:numId="23">
    <w:abstractNumId w:val="5"/>
  </w:num>
  <w:num w:numId="24">
    <w:abstractNumId w:val="14"/>
  </w:num>
  <w:num w:numId="25">
    <w:abstractNumId w:val="11"/>
  </w:num>
  <w:num w:numId="26">
    <w:abstractNumId w:val="8"/>
    <w:lvlOverride w:ilvl="0">
      <w:startOverride w:val="1"/>
    </w:lvlOverride>
  </w:num>
  <w:num w:numId="27">
    <w:abstractNumId w:val="9"/>
    <w:lvlOverride w:ilvl="0">
      <w:startOverride w:val="1"/>
    </w:lvlOverride>
  </w:num>
  <w:num w:numId="28">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0D55F4"/>
    <w:rsid w:val="000E4A6F"/>
    <w:rsid w:val="000F31D5"/>
    <w:rsid w:val="00107FD4"/>
    <w:rsid w:val="00125809"/>
    <w:rsid w:val="001745F8"/>
    <w:rsid w:val="001838CF"/>
    <w:rsid w:val="001944BE"/>
    <w:rsid w:val="001A2A9B"/>
    <w:rsid w:val="001A3BA4"/>
    <w:rsid w:val="001A7936"/>
    <w:rsid w:val="001B36DB"/>
    <w:rsid w:val="001D4A4D"/>
    <w:rsid w:val="001E30F6"/>
    <w:rsid w:val="001E36B5"/>
    <w:rsid w:val="001F3D75"/>
    <w:rsid w:val="00204E7B"/>
    <w:rsid w:val="00226E13"/>
    <w:rsid w:val="00235F5C"/>
    <w:rsid w:val="00251776"/>
    <w:rsid w:val="002A5B43"/>
    <w:rsid w:val="002B4922"/>
    <w:rsid w:val="002C2D19"/>
    <w:rsid w:val="002D10FA"/>
    <w:rsid w:val="002D4C55"/>
    <w:rsid w:val="002F6FC6"/>
    <w:rsid w:val="003478EB"/>
    <w:rsid w:val="00350382"/>
    <w:rsid w:val="00357BA8"/>
    <w:rsid w:val="0036189D"/>
    <w:rsid w:val="003B659E"/>
    <w:rsid w:val="003E3015"/>
    <w:rsid w:val="0043750A"/>
    <w:rsid w:val="00445680"/>
    <w:rsid w:val="00452F03"/>
    <w:rsid w:val="004949F8"/>
    <w:rsid w:val="004E0E22"/>
    <w:rsid w:val="004E5E66"/>
    <w:rsid w:val="00503B4D"/>
    <w:rsid w:val="00504EE9"/>
    <w:rsid w:val="0054442C"/>
    <w:rsid w:val="00550285"/>
    <w:rsid w:val="00567DB2"/>
    <w:rsid w:val="00570E98"/>
    <w:rsid w:val="0057587E"/>
    <w:rsid w:val="005836F8"/>
    <w:rsid w:val="005918FA"/>
    <w:rsid w:val="005E61A8"/>
    <w:rsid w:val="005F6419"/>
    <w:rsid w:val="00617400"/>
    <w:rsid w:val="0065510E"/>
    <w:rsid w:val="00664950"/>
    <w:rsid w:val="00683220"/>
    <w:rsid w:val="00687FA0"/>
    <w:rsid w:val="006B7010"/>
    <w:rsid w:val="006E3FEE"/>
    <w:rsid w:val="007145FF"/>
    <w:rsid w:val="0072623C"/>
    <w:rsid w:val="0073636C"/>
    <w:rsid w:val="00751515"/>
    <w:rsid w:val="00785232"/>
    <w:rsid w:val="00786F1E"/>
    <w:rsid w:val="0079757B"/>
    <w:rsid w:val="007C2C0A"/>
    <w:rsid w:val="007C3ED0"/>
    <w:rsid w:val="007D2D87"/>
    <w:rsid w:val="007D2DC1"/>
    <w:rsid w:val="00806A76"/>
    <w:rsid w:val="00811C9D"/>
    <w:rsid w:val="00816C80"/>
    <w:rsid w:val="00841BCD"/>
    <w:rsid w:val="00851A8E"/>
    <w:rsid w:val="008826C1"/>
    <w:rsid w:val="00892252"/>
    <w:rsid w:val="008B0248"/>
    <w:rsid w:val="008B2257"/>
    <w:rsid w:val="008C0312"/>
    <w:rsid w:val="008C7B10"/>
    <w:rsid w:val="008F7BBC"/>
    <w:rsid w:val="0090091A"/>
    <w:rsid w:val="009042BD"/>
    <w:rsid w:val="00932A5B"/>
    <w:rsid w:val="00935841"/>
    <w:rsid w:val="00974371"/>
    <w:rsid w:val="00977E1D"/>
    <w:rsid w:val="00990C5D"/>
    <w:rsid w:val="009A2528"/>
    <w:rsid w:val="009A57A4"/>
    <w:rsid w:val="009B211E"/>
    <w:rsid w:val="00A10B1F"/>
    <w:rsid w:val="00A22B78"/>
    <w:rsid w:val="00A25AE5"/>
    <w:rsid w:val="00A27D32"/>
    <w:rsid w:val="00A3141E"/>
    <w:rsid w:val="00A37002"/>
    <w:rsid w:val="00A50A1C"/>
    <w:rsid w:val="00A77D0E"/>
    <w:rsid w:val="00AA1B0E"/>
    <w:rsid w:val="00AC5BFC"/>
    <w:rsid w:val="00AC5CA7"/>
    <w:rsid w:val="00AC7558"/>
    <w:rsid w:val="00AE56B1"/>
    <w:rsid w:val="00B22459"/>
    <w:rsid w:val="00B261EE"/>
    <w:rsid w:val="00B73862"/>
    <w:rsid w:val="00B95C98"/>
    <w:rsid w:val="00BA6E48"/>
    <w:rsid w:val="00BF2218"/>
    <w:rsid w:val="00C30462"/>
    <w:rsid w:val="00C7268E"/>
    <w:rsid w:val="00C74627"/>
    <w:rsid w:val="00CC3433"/>
    <w:rsid w:val="00CD5FDE"/>
    <w:rsid w:val="00CD7492"/>
    <w:rsid w:val="00CE3A6B"/>
    <w:rsid w:val="00CE6CFF"/>
    <w:rsid w:val="00D00211"/>
    <w:rsid w:val="00D06309"/>
    <w:rsid w:val="00D351EA"/>
    <w:rsid w:val="00D43403"/>
    <w:rsid w:val="00D62E71"/>
    <w:rsid w:val="00D740CA"/>
    <w:rsid w:val="00D811D0"/>
    <w:rsid w:val="00D85728"/>
    <w:rsid w:val="00D94A7C"/>
    <w:rsid w:val="00DF2997"/>
    <w:rsid w:val="00E16109"/>
    <w:rsid w:val="00EB5D5E"/>
    <w:rsid w:val="00EC7BC3"/>
    <w:rsid w:val="00ED7600"/>
    <w:rsid w:val="00EE4B87"/>
    <w:rsid w:val="00F0099E"/>
    <w:rsid w:val="00F1362C"/>
    <w:rsid w:val="00F52C77"/>
    <w:rsid w:val="00F6250A"/>
    <w:rsid w:val="00F824F5"/>
    <w:rsid w:val="00F97750"/>
    <w:rsid w:val="00FC29B9"/>
    <w:rsid w:val="00FC6FD3"/>
    <w:rsid w:val="00FD187D"/>
    <w:rsid w:val="00FD4BCF"/>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5BD1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9">
    <w:name w:val="heading 9"/>
    <w:basedOn w:val="Normal"/>
    <w:next w:val="Normal"/>
    <w:link w:val="Heading9Char"/>
    <w:uiPriority w:val="9"/>
    <w:semiHidden/>
    <w:unhideWhenUsed/>
    <w:qFormat/>
    <w:rsid w:val="001A2A9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customStyle="1" w:styleId="Heading9Char">
    <w:name w:val="Heading 9 Char"/>
    <w:basedOn w:val="DefaultParagraphFont"/>
    <w:link w:val="Heading9"/>
    <w:rsid w:val="001A2A9B"/>
    <w:rPr>
      <w:rFonts w:asciiTheme="majorHAnsi" w:eastAsiaTheme="majorEastAsia" w:hAnsiTheme="majorHAnsi" w:cstheme="majorBidi"/>
      <w:i/>
      <w:iCs/>
      <w:color w:val="272727" w:themeColor="text1" w:themeTint="D8"/>
      <w:sz w:val="21"/>
      <w:szCs w:val="21"/>
    </w:rPr>
  </w:style>
  <w:style w:type="paragraph" w:customStyle="1" w:styleId="TAL">
    <w:name w:val="TAL"/>
    <w:basedOn w:val="Normal"/>
    <w:link w:val="TALCar"/>
    <w:rsid w:val="001A2A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rsid w:val="001A2A9B"/>
    <w:rPr>
      <w:rFonts w:ascii="Arial" w:eastAsia="Times New Roman" w:hAnsi="Arial" w:cs="Times New Roman"/>
      <w:sz w:val="18"/>
      <w:szCs w:val="20"/>
      <w:lang w:val="x-none" w:eastAsia="x-none"/>
    </w:rPr>
  </w:style>
  <w:style w:type="paragraph" w:customStyle="1" w:styleId="TAH">
    <w:name w:val="TAH"/>
    <w:basedOn w:val="Normal"/>
    <w:link w:val="TAHCar"/>
    <w:rsid w:val="001A2A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locked/>
    <w:rsid w:val="001A2A9B"/>
    <w:rPr>
      <w:rFonts w:ascii="Arial" w:eastAsia="Times New Roman" w:hAnsi="Arial" w:cs="Times New Roman"/>
      <w:b/>
      <w:sz w:val="18"/>
      <w:szCs w:val="20"/>
      <w:lang w:val="x-none" w:eastAsia="x-none"/>
    </w:rPr>
  </w:style>
  <w:style w:type="character" w:styleId="CommentReference">
    <w:name w:val="annotation reference"/>
    <w:basedOn w:val="DefaultParagraphFont"/>
    <w:uiPriority w:val="99"/>
    <w:semiHidden/>
    <w:unhideWhenUsed/>
    <w:rsid w:val="008B2257"/>
    <w:rPr>
      <w:sz w:val="16"/>
      <w:szCs w:val="16"/>
    </w:rPr>
  </w:style>
  <w:style w:type="paragraph" w:styleId="CommentText">
    <w:name w:val="annotation text"/>
    <w:basedOn w:val="Normal"/>
    <w:link w:val="CommentTextChar"/>
    <w:uiPriority w:val="99"/>
    <w:semiHidden/>
    <w:unhideWhenUsed/>
    <w:rsid w:val="008B2257"/>
    <w:pPr>
      <w:spacing w:line="240" w:lineRule="auto"/>
    </w:pPr>
    <w:rPr>
      <w:szCs w:val="20"/>
    </w:rPr>
  </w:style>
  <w:style w:type="character" w:customStyle="1" w:styleId="CommentTextChar">
    <w:name w:val="Comment Text Char"/>
    <w:basedOn w:val="DefaultParagraphFont"/>
    <w:link w:val="CommentText"/>
    <w:uiPriority w:val="99"/>
    <w:semiHidden/>
    <w:rsid w:val="008B225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B2257"/>
    <w:rPr>
      <w:b/>
      <w:bCs/>
    </w:rPr>
  </w:style>
  <w:style w:type="character" w:customStyle="1" w:styleId="CommentSubjectChar">
    <w:name w:val="Comment Subject Char"/>
    <w:basedOn w:val="CommentTextChar"/>
    <w:link w:val="CommentSubject"/>
    <w:uiPriority w:val="99"/>
    <w:semiHidden/>
    <w:rsid w:val="008B2257"/>
    <w:rPr>
      <w:rFonts w:ascii="Times New Roman" w:hAnsi="Times New Roman"/>
      <w:b/>
      <w:bCs/>
      <w:sz w:val="20"/>
      <w:szCs w:val="20"/>
    </w:rPr>
  </w:style>
  <w:style w:type="paragraph" w:styleId="BalloonText">
    <w:name w:val="Balloon Text"/>
    <w:basedOn w:val="Normal"/>
    <w:link w:val="BalloonTextChar"/>
    <w:uiPriority w:val="99"/>
    <w:semiHidden/>
    <w:unhideWhenUsed/>
    <w:rsid w:val="008B22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257"/>
    <w:rPr>
      <w:rFonts w:ascii="Segoe UI" w:hAnsi="Segoe UI" w:cs="Segoe UI"/>
      <w:sz w:val="18"/>
      <w:szCs w:val="18"/>
    </w:rPr>
  </w:style>
  <w:style w:type="character" w:customStyle="1" w:styleId="HeaderChar">
    <w:name w:val="Header Char"/>
    <w:link w:val="Header"/>
    <w:rsid w:val="007D2DC1"/>
    <w:rPr>
      <w:lang w:val="en-GB"/>
    </w:rPr>
  </w:style>
  <w:style w:type="paragraph" w:styleId="Header">
    <w:name w:val="header"/>
    <w:basedOn w:val="Normal"/>
    <w:link w:val="HeaderChar"/>
    <w:rsid w:val="007D2DC1"/>
    <w:pPr>
      <w:tabs>
        <w:tab w:val="center" w:pos="4153"/>
        <w:tab w:val="right" w:pos="8306"/>
      </w:tabs>
      <w:spacing w:after="0" w:line="240" w:lineRule="auto"/>
    </w:pPr>
    <w:rPr>
      <w:rFonts w:asciiTheme="minorHAnsi" w:hAnsiTheme="minorHAnsi"/>
      <w:sz w:val="22"/>
      <w:lang w:val="en-GB"/>
    </w:rPr>
  </w:style>
  <w:style w:type="character" w:customStyle="1" w:styleId="HeaderChar1">
    <w:name w:val="Header Char1"/>
    <w:basedOn w:val="DefaultParagraphFont"/>
    <w:uiPriority w:val="99"/>
    <w:semiHidden/>
    <w:rsid w:val="007D2DC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2779">
      <w:bodyDiv w:val="1"/>
      <w:marLeft w:val="0"/>
      <w:marRight w:val="0"/>
      <w:marTop w:val="0"/>
      <w:marBottom w:val="0"/>
      <w:divBdr>
        <w:top w:val="none" w:sz="0" w:space="0" w:color="auto"/>
        <w:left w:val="none" w:sz="0" w:space="0" w:color="auto"/>
        <w:bottom w:val="none" w:sz="0" w:space="0" w:color="auto"/>
        <w:right w:val="none" w:sz="0" w:space="0" w:color="auto"/>
      </w:divBdr>
      <w:divsChild>
        <w:div w:id="726611254">
          <w:marLeft w:val="360"/>
          <w:marRight w:val="0"/>
          <w:marTop w:val="200"/>
          <w:marBottom w:val="0"/>
          <w:divBdr>
            <w:top w:val="none" w:sz="0" w:space="0" w:color="auto"/>
            <w:left w:val="none" w:sz="0" w:space="0" w:color="auto"/>
            <w:bottom w:val="none" w:sz="0" w:space="0" w:color="auto"/>
            <w:right w:val="none" w:sz="0" w:space="0" w:color="auto"/>
          </w:divBdr>
        </w:div>
        <w:div w:id="1058171221">
          <w:marLeft w:val="360"/>
          <w:marRight w:val="0"/>
          <w:marTop w:val="200"/>
          <w:marBottom w:val="0"/>
          <w:divBdr>
            <w:top w:val="none" w:sz="0" w:space="0" w:color="auto"/>
            <w:left w:val="none" w:sz="0" w:space="0" w:color="auto"/>
            <w:bottom w:val="none" w:sz="0" w:space="0" w:color="auto"/>
            <w:right w:val="none" w:sz="0" w:space="0" w:color="auto"/>
          </w:divBdr>
        </w:div>
      </w:divsChild>
    </w:div>
    <w:div w:id="801776251">
      <w:bodyDiv w:val="1"/>
      <w:marLeft w:val="0"/>
      <w:marRight w:val="0"/>
      <w:marTop w:val="0"/>
      <w:marBottom w:val="0"/>
      <w:divBdr>
        <w:top w:val="none" w:sz="0" w:space="0" w:color="auto"/>
        <w:left w:val="none" w:sz="0" w:space="0" w:color="auto"/>
        <w:bottom w:val="none" w:sz="0" w:space="0" w:color="auto"/>
        <w:right w:val="none" w:sz="0" w:space="0" w:color="auto"/>
      </w:divBdr>
    </w:div>
    <w:div w:id="1555431809">
      <w:bodyDiv w:val="1"/>
      <w:marLeft w:val="0"/>
      <w:marRight w:val="0"/>
      <w:marTop w:val="0"/>
      <w:marBottom w:val="0"/>
      <w:divBdr>
        <w:top w:val="none" w:sz="0" w:space="0" w:color="auto"/>
        <w:left w:val="none" w:sz="0" w:space="0" w:color="auto"/>
        <w:bottom w:val="none" w:sz="0" w:space="0" w:color="auto"/>
        <w:right w:val="none" w:sz="0" w:space="0" w:color="auto"/>
      </w:divBdr>
      <w:divsChild>
        <w:div w:id="1375303332">
          <w:marLeft w:val="360"/>
          <w:marRight w:val="0"/>
          <w:marTop w:val="200"/>
          <w:marBottom w:val="0"/>
          <w:divBdr>
            <w:top w:val="none" w:sz="0" w:space="0" w:color="auto"/>
            <w:left w:val="none" w:sz="0" w:space="0" w:color="auto"/>
            <w:bottom w:val="none" w:sz="0" w:space="0" w:color="auto"/>
            <w:right w:val="none" w:sz="0" w:space="0" w:color="auto"/>
          </w:divBdr>
        </w:div>
        <w:div w:id="2114206425">
          <w:marLeft w:val="1080"/>
          <w:marRight w:val="0"/>
          <w:marTop w:val="100"/>
          <w:marBottom w:val="0"/>
          <w:divBdr>
            <w:top w:val="none" w:sz="0" w:space="0" w:color="auto"/>
            <w:left w:val="none" w:sz="0" w:space="0" w:color="auto"/>
            <w:bottom w:val="none" w:sz="0" w:space="0" w:color="auto"/>
            <w:right w:val="none" w:sz="0" w:space="0" w:color="auto"/>
          </w:divBdr>
        </w:div>
        <w:div w:id="1743599966">
          <w:marLeft w:val="1080"/>
          <w:marRight w:val="0"/>
          <w:marTop w:val="100"/>
          <w:marBottom w:val="0"/>
          <w:divBdr>
            <w:top w:val="none" w:sz="0" w:space="0" w:color="auto"/>
            <w:left w:val="none" w:sz="0" w:space="0" w:color="auto"/>
            <w:bottom w:val="none" w:sz="0" w:space="0" w:color="auto"/>
            <w:right w:val="none" w:sz="0" w:space="0" w:color="auto"/>
          </w:divBdr>
        </w:div>
        <w:div w:id="1736587312">
          <w:marLeft w:val="1080"/>
          <w:marRight w:val="0"/>
          <w:marTop w:val="100"/>
          <w:marBottom w:val="0"/>
          <w:divBdr>
            <w:top w:val="none" w:sz="0" w:space="0" w:color="auto"/>
            <w:left w:val="none" w:sz="0" w:space="0" w:color="auto"/>
            <w:bottom w:val="none" w:sz="0" w:space="0" w:color="auto"/>
            <w:right w:val="none" w:sz="0" w:space="0" w:color="auto"/>
          </w:divBdr>
        </w:div>
        <w:div w:id="164732355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98D66-B048-4E02-80FB-FD403604A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7</cp:revision>
  <dcterms:created xsi:type="dcterms:W3CDTF">2018-05-14T16:11:00Z</dcterms:created>
  <dcterms:modified xsi:type="dcterms:W3CDTF">2018-05-14T17:27:00Z</dcterms:modified>
</cp:coreProperties>
</file>